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A356" w14:textId="77777777" w:rsidR="00BE757B" w:rsidRDefault="00BE757B" w:rsidP="00BE757B">
      <w:pPr>
        <w:jc w:val="right"/>
      </w:pPr>
      <w:r w:rsidRPr="00866E8F">
        <w:rPr>
          <w:noProof/>
          <w:lang w:eastAsia="en-GB"/>
        </w:rPr>
        <w:drawing>
          <wp:inline distT="0" distB="0" distL="0" distR="0" wp14:anchorId="07F6A526" wp14:editId="07F6A527">
            <wp:extent cx="1143000" cy="1143000"/>
            <wp:effectExtent l="0" t="0" r="0" b="0"/>
            <wp:docPr id="2" name="Picture 2" descr="pow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y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866E8F">
        <w:rPr>
          <w:noProof/>
          <w:lang w:eastAsia="en-GB"/>
        </w:rPr>
        <w:drawing>
          <wp:inline distT="0" distB="0" distL="0" distR="0" wp14:anchorId="07F6A528" wp14:editId="07F6A529">
            <wp:extent cx="960120" cy="1066800"/>
            <wp:effectExtent l="0" t="0" r="0" b="0"/>
            <wp:docPr id="1" name="Picture 1" descr="ysgol-bro-cynllai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bro-cynllait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1066800"/>
                    </a:xfrm>
                    <a:prstGeom prst="rect">
                      <a:avLst/>
                    </a:prstGeom>
                    <a:noFill/>
                    <a:ln>
                      <a:noFill/>
                    </a:ln>
                  </pic:spPr>
                </pic:pic>
              </a:graphicData>
            </a:graphic>
          </wp:inline>
        </w:drawing>
      </w:r>
    </w:p>
    <w:p w14:paraId="07F6A357" w14:textId="77777777" w:rsidR="00BE757B" w:rsidRDefault="00BE757B" w:rsidP="00BE757B">
      <w:pPr>
        <w:jc w:val="right"/>
      </w:pPr>
    </w:p>
    <w:p w14:paraId="07F6A358" w14:textId="77777777" w:rsidR="00BE757B" w:rsidRDefault="00BE757B" w:rsidP="00BE757B"/>
    <w:p w14:paraId="07F6A359" w14:textId="77777777" w:rsidR="00BE757B" w:rsidRDefault="00BE757B" w:rsidP="00BE757B">
      <w:pPr>
        <w:ind w:left="-284"/>
        <w:rPr>
          <w:rFonts w:ascii="Arial" w:hAnsi="Arial"/>
          <w:b/>
          <w:sz w:val="40"/>
        </w:rPr>
      </w:pPr>
      <w:r>
        <w:rPr>
          <w:rFonts w:ascii="Arial" w:hAnsi="Arial"/>
          <w:b/>
          <w:sz w:val="40"/>
        </w:rPr>
        <w:t>YSGOL BRO CYNLLAITH</w:t>
      </w:r>
    </w:p>
    <w:p w14:paraId="07F6A35A" w14:textId="77777777" w:rsidR="00BE757B" w:rsidRDefault="00BE757B" w:rsidP="00BE757B">
      <w:pPr>
        <w:ind w:left="-284"/>
        <w:rPr>
          <w:rFonts w:ascii="Arial" w:hAnsi="Arial"/>
          <w:b/>
          <w:sz w:val="40"/>
        </w:rPr>
      </w:pPr>
      <w:r>
        <w:rPr>
          <w:rFonts w:ascii="Arial" w:hAnsi="Arial"/>
          <w:b/>
          <w:sz w:val="40"/>
        </w:rPr>
        <w:t>Redundancy Policy</w:t>
      </w:r>
    </w:p>
    <w:p w14:paraId="07F6A35B" w14:textId="77777777" w:rsidR="00BE757B" w:rsidRDefault="00BE757B" w:rsidP="00BE757B">
      <w:pPr>
        <w:ind w:left="-284"/>
        <w:rPr>
          <w:rFonts w:ascii="Arial" w:hAnsi="Arial"/>
          <w:sz w:val="32"/>
        </w:rPr>
      </w:pPr>
      <w:r>
        <w:rPr>
          <w:rFonts w:ascii="Arial" w:hAnsi="Arial"/>
          <w:sz w:val="32"/>
        </w:rPr>
        <w:t>February 2021</w:t>
      </w:r>
    </w:p>
    <w:p w14:paraId="07F6A35C" w14:textId="77777777" w:rsidR="00BE757B" w:rsidRDefault="00BE757B" w:rsidP="00BE757B">
      <w:pPr>
        <w:tabs>
          <w:tab w:val="right" w:pos="9072"/>
        </w:tabs>
        <w:ind w:left="-284" w:right="-99"/>
        <w:jc w:val="both"/>
        <w:rPr>
          <w:rFonts w:ascii="Arial" w:hAnsi="Arial"/>
          <w:b/>
          <w:bCs/>
          <w:sz w:val="28"/>
        </w:rPr>
      </w:pPr>
      <w:r>
        <w:rPr>
          <w:rFonts w:ascii="Arial" w:hAnsi="Arial"/>
          <w:b/>
          <w:bCs/>
          <w:sz w:val="28"/>
          <w:u w:val="single"/>
        </w:rPr>
        <w:tab/>
      </w:r>
    </w:p>
    <w:p w14:paraId="07F6A35D" w14:textId="2C2EB749" w:rsidR="00302BA9" w:rsidRDefault="00302BA9"/>
    <w:p w14:paraId="173A2764" w14:textId="2D05DFD3" w:rsidR="00AA3291" w:rsidRDefault="00AA3291"/>
    <w:p w14:paraId="556879D8" w14:textId="7DDC5122" w:rsidR="00AA3291" w:rsidRPr="00AA3291" w:rsidRDefault="00AA3291">
      <w:pPr>
        <w:rPr>
          <w:rFonts w:ascii="Arial" w:hAnsi="Arial" w:cs="Arial"/>
          <w:sz w:val="22"/>
        </w:rPr>
      </w:pPr>
      <w:r w:rsidRPr="00AA3291">
        <w:rPr>
          <w:rFonts w:ascii="Arial" w:hAnsi="Arial" w:cs="Arial"/>
          <w:sz w:val="22"/>
        </w:rPr>
        <w:t xml:space="preserve">Adopted by the Governing Body of Ysgol Bro Cynllaith </w:t>
      </w:r>
      <w:proofErr w:type="gramStart"/>
      <w:r w:rsidRPr="00AA3291">
        <w:rPr>
          <w:rFonts w:ascii="Arial" w:hAnsi="Arial" w:cs="Arial"/>
          <w:sz w:val="22"/>
        </w:rPr>
        <w:t>on :</w:t>
      </w:r>
      <w:proofErr w:type="gramEnd"/>
      <w:r w:rsidRPr="00AA3291">
        <w:rPr>
          <w:rFonts w:ascii="Arial" w:hAnsi="Arial" w:cs="Arial"/>
          <w:sz w:val="22"/>
        </w:rPr>
        <w:t xml:space="preserve"> …………………………………..</w:t>
      </w:r>
    </w:p>
    <w:p w14:paraId="08219238" w14:textId="0AF33468" w:rsidR="00AA3291" w:rsidRPr="00AA3291" w:rsidRDefault="00AA3291">
      <w:pPr>
        <w:rPr>
          <w:rFonts w:ascii="Arial" w:hAnsi="Arial" w:cs="Arial"/>
          <w:sz w:val="22"/>
        </w:rPr>
      </w:pPr>
    </w:p>
    <w:p w14:paraId="2F2E26E4" w14:textId="2FDA6845" w:rsidR="00AA3291" w:rsidRPr="00AA3291" w:rsidRDefault="00AA3291">
      <w:pPr>
        <w:rPr>
          <w:rFonts w:ascii="Arial" w:hAnsi="Arial" w:cs="Arial"/>
          <w:sz w:val="22"/>
        </w:rPr>
      </w:pPr>
      <w:r w:rsidRPr="00AA3291">
        <w:rPr>
          <w:rFonts w:ascii="Arial" w:hAnsi="Arial" w:cs="Arial"/>
          <w:sz w:val="22"/>
        </w:rPr>
        <w:t xml:space="preserve">Signed by the Chair of </w:t>
      </w:r>
      <w:proofErr w:type="gramStart"/>
      <w:r w:rsidRPr="00AA3291">
        <w:rPr>
          <w:rFonts w:ascii="Arial" w:hAnsi="Arial" w:cs="Arial"/>
          <w:sz w:val="22"/>
        </w:rPr>
        <w:t>Governors :</w:t>
      </w:r>
      <w:proofErr w:type="gramEnd"/>
      <w:r w:rsidRPr="00AA3291">
        <w:rPr>
          <w:rFonts w:ascii="Arial" w:hAnsi="Arial" w:cs="Arial"/>
          <w:sz w:val="22"/>
        </w:rPr>
        <w:t xml:space="preserve"> …………………………………………..</w:t>
      </w:r>
    </w:p>
    <w:p w14:paraId="68DEE7BF" w14:textId="77777777" w:rsidR="00AA3291" w:rsidRDefault="00AA3291"/>
    <w:p w14:paraId="07F6A35E" w14:textId="77777777" w:rsidR="00BE757B" w:rsidRDefault="00BE757B" w:rsidP="00BE757B">
      <w:pPr>
        <w:spacing w:line="259" w:lineRule="auto"/>
        <w:ind w:left="-284" w:right="-46"/>
        <w:jc w:val="center"/>
      </w:pPr>
    </w:p>
    <w:p w14:paraId="07F6A35F" w14:textId="77777777" w:rsidR="00BE757B" w:rsidRDefault="00BE757B" w:rsidP="00BE757B">
      <w:pPr>
        <w:spacing w:after="21" w:line="259" w:lineRule="auto"/>
        <w:ind w:left="-284" w:right="-46"/>
      </w:pPr>
      <w:r>
        <w:rPr>
          <w:rFonts w:ascii="Arial" w:eastAsia="Arial" w:hAnsi="Arial" w:cs="Arial"/>
          <w:b/>
        </w:rPr>
        <w:t xml:space="preserve">This policy applies to all employees except teaching staff employed in educational establishments </w:t>
      </w:r>
    </w:p>
    <w:p w14:paraId="07F6A379" w14:textId="77777777" w:rsidR="00BE757B" w:rsidRPr="00F14E90" w:rsidRDefault="00BE757B" w:rsidP="00F14E90">
      <w:pPr>
        <w:tabs>
          <w:tab w:val="left" w:pos="284"/>
        </w:tabs>
        <w:spacing w:line="259" w:lineRule="auto"/>
        <w:ind w:left="284" w:hanging="568"/>
        <w:rPr>
          <w:rFonts w:ascii="Arial" w:hAnsi="Arial" w:cs="Arial"/>
          <w:sz w:val="22"/>
          <w:szCs w:val="22"/>
        </w:rPr>
      </w:pPr>
    </w:p>
    <w:p w14:paraId="07F6A37A" w14:textId="77777777" w:rsidR="00BE757B" w:rsidRPr="00F14E90" w:rsidRDefault="00BE757B" w:rsidP="00F14E90">
      <w:pPr>
        <w:pStyle w:val="Heading1"/>
        <w:tabs>
          <w:tab w:val="left" w:pos="284"/>
        </w:tabs>
        <w:spacing w:after="0" w:line="240" w:lineRule="auto"/>
        <w:ind w:left="284" w:hanging="568"/>
        <w:rPr>
          <w:u w:val="single"/>
        </w:rPr>
      </w:pPr>
      <w:r w:rsidRPr="00F14E90">
        <w:rPr>
          <w:u w:val="single"/>
        </w:rPr>
        <w:t xml:space="preserve">Introduction </w:t>
      </w:r>
    </w:p>
    <w:p w14:paraId="07F6A37B" w14:textId="77777777" w:rsidR="00BE757B" w:rsidRPr="00F14E90" w:rsidRDefault="00BE757B" w:rsidP="00F14E90">
      <w:pPr>
        <w:tabs>
          <w:tab w:val="left" w:pos="284"/>
        </w:tabs>
        <w:ind w:left="284" w:hanging="568"/>
        <w:rPr>
          <w:rFonts w:ascii="Arial" w:hAnsi="Arial" w:cs="Arial"/>
          <w:sz w:val="22"/>
          <w:szCs w:val="22"/>
        </w:rPr>
      </w:pPr>
      <w:r w:rsidRPr="00F14E90">
        <w:rPr>
          <w:rFonts w:ascii="Arial" w:eastAsia="Arial" w:hAnsi="Arial" w:cs="Arial"/>
          <w:b/>
          <w:sz w:val="22"/>
          <w:szCs w:val="22"/>
        </w:rPr>
        <w:t xml:space="preserve"> </w:t>
      </w:r>
      <w:r w:rsidRPr="00F14E90">
        <w:rPr>
          <w:rFonts w:ascii="Arial" w:hAnsi="Arial" w:cs="Arial"/>
          <w:sz w:val="22"/>
          <w:szCs w:val="22"/>
        </w:rPr>
        <w:t xml:space="preserve"> </w:t>
      </w:r>
    </w:p>
    <w:p w14:paraId="07F6A37C"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1.1 </w:t>
      </w:r>
      <w:r w:rsidR="00F14E90">
        <w:rPr>
          <w:rFonts w:ascii="Arial" w:hAnsi="Arial" w:cs="Arial"/>
          <w:sz w:val="22"/>
          <w:szCs w:val="22"/>
        </w:rPr>
        <w:tab/>
      </w:r>
      <w:r w:rsidRPr="00F14E90">
        <w:rPr>
          <w:rFonts w:ascii="Arial" w:hAnsi="Arial" w:cs="Arial"/>
          <w:sz w:val="22"/>
          <w:szCs w:val="22"/>
        </w:rPr>
        <w:t>It is the policy of the Council to ensure as far as possible security of employment for its employees. It should however be recognised that there may be changes in economic conditions, organisational requirements and technologic</w:t>
      </w:r>
      <w:bookmarkStart w:id="0" w:name="_GoBack"/>
      <w:bookmarkEnd w:id="0"/>
      <w:r w:rsidRPr="00F14E90">
        <w:rPr>
          <w:rFonts w:ascii="Arial" w:hAnsi="Arial" w:cs="Arial"/>
          <w:sz w:val="22"/>
          <w:szCs w:val="22"/>
        </w:rPr>
        <w:t xml:space="preserve">al developments which might affect staffing needs. The Council, in consultation with our recognised Trade Unions (UNISON, GMB, UNITE) seeks to minimise the effect of redundancies including the provision of sufficient time and advice for finding alternative employment for displaced staff.  </w:t>
      </w:r>
    </w:p>
    <w:p w14:paraId="07F6A37D"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7E" w14:textId="77777777" w:rsidR="00BE757B" w:rsidRPr="00F14E90" w:rsidRDefault="00BE757B" w:rsidP="00F14E90">
      <w:pPr>
        <w:tabs>
          <w:tab w:val="left" w:pos="284"/>
        </w:tabs>
        <w:ind w:left="284" w:right="368" w:hanging="568"/>
        <w:rPr>
          <w:rFonts w:ascii="Arial" w:hAnsi="Arial" w:cs="Arial"/>
          <w:sz w:val="22"/>
          <w:szCs w:val="22"/>
        </w:rPr>
      </w:pPr>
      <w:proofErr w:type="gramStart"/>
      <w:r w:rsidRPr="00F14E90">
        <w:rPr>
          <w:rFonts w:ascii="Arial" w:hAnsi="Arial" w:cs="Arial"/>
          <w:sz w:val="22"/>
          <w:szCs w:val="22"/>
        </w:rPr>
        <w:t xml:space="preserve">1.2  </w:t>
      </w:r>
      <w:r w:rsidR="00F14E90">
        <w:rPr>
          <w:rFonts w:ascii="Arial" w:hAnsi="Arial" w:cs="Arial"/>
          <w:sz w:val="22"/>
          <w:szCs w:val="22"/>
        </w:rPr>
        <w:tab/>
      </w:r>
      <w:proofErr w:type="gramEnd"/>
      <w:r w:rsidRPr="00F14E90">
        <w:rPr>
          <w:rFonts w:ascii="Arial" w:hAnsi="Arial" w:cs="Arial"/>
          <w:sz w:val="22"/>
          <w:szCs w:val="22"/>
        </w:rPr>
        <w:t>This policy should be used and read in conjunction with the Council’s Redeployment policy and Management of Change policy.</w:t>
      </w:r>
      <w:r w:rsidRPr="00F14E90">
        <w:rPr>
          <w:rFonts w:ascii="Arial" w:hAnsi="Arial" w:cs="Arial"/>
          <w:color w:val="FF0000"/>
          <w:sz w:val="22"/>
          <w:szCs w:val="22"/>
        </w:rPr>
        <w:t xml:space="preserve"> </w:t>
      </w:r>
    </w:p>
    <w:p w14:paraId="07F6A37F"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80"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81" w14:textId="77777777" w:rsidR="00BE757B" w:rsidRPr="00F14E90" w:rsidRDefault="00BE757B" w:rsidP="00F14E90">
      <w:pPr>
        <w:pStyle w:val="Heading1"/>
        <w:tabs>
          <w:tab w:val="left" w:pos="284"/>
        </w:tabs>
        <w:spacing w:after="0" w:line="240" w:lineRule="auto"/>
        <w:ind w:left="284" w:hanging="568"/>
        <w:rPr>
          <w:u w:val="single"/>
        </w:rPr>
      </w:pPr>
      <w:r w:rsidRPr="00F14E90">
        <w:rPr>
          <w:u w:val="single"/>
        </w:rPr>
        <w:t xml:space="preserve">Definition of Redundancy  </w:t>
      </w:r>
    </w:p>
    <w:p w14:paraId="07F6A382"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83" w14:textId="77777777" w:rsidR="00BE757B" w:rsidRPr="00F14E90" w:rsidRDefault="00BE757B" w:rsidP="00F14E90">
      <w:pPr>
        <w:tabs>
          <w:tab w:val="left" w:pos="284"/>
        </w:tabs>
        <w:ind w:left="284" w:right="368" w:hanging="568"/>
        <w:rPr>
          <w:rFonts w:ascii="Arial" w:hAnsi="Arial" w:cs="Arial"/>
          <w:sz w:val="22"/>
          <w:szCs w:val="22"/>
        </w:rPr>
      </w:pPr>
      <w:proofErr w:type="gramStart"/>
      <w:r w:rsidRPr="00F14E90">
        <w:rPr>
          <w:rFonts w:ascii="Arial" w:hAnsi="Arial" w:cs="Arial"/>
          <w:sz w:val="22"/>
          <w:szCs w:val="22"/>
        </w:rPr>
        <w:t xml:space="preserve">2.1  </w:t>
      </w:r>
      <w:r w:rsidRPr="00F14E90">
        <w:rPr>
          <w:rFonts w:ascii="Arial" w:hAnsi="Arial" w:cs="Arial"/>
          <w:sz w:val="22"/>
          <w:szCs w:val="22"/>
        </w:rPr>
        <w:tab/>
      </w:r>
      <w:proofErr w:type="gramEnd"/>
      <w:r w:rsidRPr="00F14E90">
        <w:rPr>
          <w:rFonts w:ascii="Arial" w:hAnsi="Arial" w:cs="Arial"/>
          <w:sz w:val="22"/>
          <w:szCs w:val="22"/>
        </w:rPr>
        <w:t xml:space="preserve">Under the Employment Rights Act 1996, redundancy arises when employees are dismissed in the following circumstances:  </w:t>
      </w:r>
    </w:p>
    <w:p w14:paraId="07F6A384"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85" w14:textId="77777777" w:rsidR="00BE757B" w:rsidRPr="00F14E90" w:rsidRDefault="00BE757B" w:rsidP="00F14E90">
      <w:pPr>
        <w:numPr>
          <w:ilvl w:val="0"/>
          <w:numId w:val="2"/>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where the employer has ceased, or intends to cease, to carry on the business for the purpose for which the employee was employed; or  </w:t>
      </w:r>
    </w:p>
    <w:p w14:paraId="07F6A386" w14:textId="77777777" w:rsidR="00BE757B" w:rsidRPr="00F14E90" w:rsidRDefault="00BE757B" w:rsidP="00F14E90">
      <w:pPr>
        <w:numPr>
          <w:ilvl w:val="0"/>
          <w:numId w:val="2"/>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where the employer has ceased, or intends to cease, to carry on the business in the place where the employee was employed; or  </w:t>
      </w:r>
    </w:p>
    <w:p w14:paraId="07F6A387" w14:textId="77777777" w:rsidR="00BE757B" w:rsidRPr="00F14E90" w:rsidRDefault="00BE757B" w:rsidP="00F14E90">
      <w:pPr>
        <w:numPr>
          <w:ilvl w:val="0"/>
          <w:numId w:val="2"/>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where the requirements of the business for employees to carry out work of a particular kind have ceased or diminished or are expected to cease or diminish; or  </w:t>
      </w:r>
    </w:p>
    <w:p w14:paraId="07F6A388" w14:textId="77777777" w:rsidR="00BE757B" w:rsidRPr="00F14E90" w:rsidRDefault="00BE757B" w:rsidP="00F14E90">
      <w:pPr>
        <w:numPr>
          <w:ilvl w:val="0"/>
          <w:numId w:val="2"/>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where the requirements of the business for employees to carry out work of a particular kind, in the place where they were so employed, have ceased or diminished or expected to cease or diminish.  </w:t>
      </w:r>
    </w:p>
    <w:p w14:paraId="07F6A389" w14:textId="77777777" w:rsidR="00BE757B" w:rsidRPr="00F14E90" w:rsidRDefault="00BE757B" w:rsidP="00F14E90">
      <w:pPr>
        <w:numPr>
          <w:ilvl w:val="0"/>
          <w:numId w:val="2"/>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Redundancy may also arise where the Council no longer has the resources to maintain employees to carry out work of a certain kind.  </w:t>
      </w:r>
    </w:p>
    <w:p w14:paraId="07F6A38A" w14:textId="77777777" w:rsidR="007044FA"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8B" w14:textId="77777777" w:rsidR="00BE757B" w:rsidRPr="00F14E90" w:rsidRDefault="007044FA" w:rsidP="004F1717">
      <w:pPr>
        <w:suppressAutoHyphens w:val="0"/>
        <w:spacing w:after="160" w:line="259" w:lineRule="auto"/>
        <w:rPr>
          <w:rFonts w:ascii="Arial" w:hAnsi="Arial" w:cs="Arial"/>
          <w:sz w:val="22"/>
          <w:szCs w:val="22"/>
        </w:rPr>
      </w:pPr>
      <w:r>
        <w:rPr>
          <w:rFonts w:ascii="Arial" w:hAnsi="Arial" w:cs="Arial"/>
          <w:sz w:val="22"/>
          <w:szCs w:val="22"/>
        </w:rPr>
        <w:br w:type="page"/>
      </w:r>
    </w:p>
    <w:p w14:paraId="07F6A38C" w14:textId="77777777" w:rsidR="00BE757B" w:rsidRPr="00F14E90" w:rsidRDefault="00BE757B" w:rsidP="00F14E90">
      <w:pPr>
        <w:pStyle w:val="Heading1"/>
        <w:tabs>
          <w:tab w:val="left" w:pos="284"/>
        </w:tabs>
        <w:spacing w:after="0" w:line="240" w:lineRule="auto"/>
        <w:ind w:left="284" w:hanging="568"/>
        <w:rPr>
          <w:u w:val="single"/>
        </w:rPr>
      </w:pPr>
      <w:r w:rsidRPr="00F14E90">
        <w:rPr>
          <w:u w:val="single"/>
        </w:rPr>
        <w:lastRenderedPageBreak/>
        <w:t xml:space="preserve">Procedure  </w:t>
      </w:r>
    </w:p>
    <w:p w14:paraId="07F6A38D"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8E" w14:textId="77777777" w:rsidR="00BE757B" w:rsidRPr="00F14E90" w:rsidRDefault="00BE757B" w:rsidP="00F14E90">
      <w:pPr>
        <w:tabs>
          <w:tab w:val="left" w:pos="284"/>
        </w:tabs>
        <w:ind w:left="284" w:right="374" w:hanging="568"/>
        <w:rPr>
          <w:rFonts w:ascii="Arial" w:hAnsi="Arial" w:cs="Arial"/>
          <w:sz w:val="22"/>
          <w:szCs w:val="22"/>
        </w:rPr>
      </w:pPr>
      <w:proofErr w:type="gramStart"/>
      <w:r w:rsidRPr="00F14E90">
        <w:rPr>
          <w:rFonts w:ascii="Arial" w:hAnsi="Arial" w:cs="Arial"/>
          <w:sz w:val="22"/>
          <w:szCs w:val="22"/>
        </w:rPr>
        <w:t xml:space="preserve">3.1  </w:t>
      </w:r>
      <w:r w:rsidRPr="00F14E90">
        <w:rPr>
          <w:rFonts w:ascii="Arial" w:hAnsi="Arial" w:cs="Arial"/>
          <w:sz w:val="22"/>
          <w:szCs w:val="22"/>
        </w:rPr>
        <w:tab/>
      </w:r>
      <w:proofErr w:type="gramEnd"/>
      <w:r w:rsidRPr="00F14E90">
        <w:rPr>
          <w:rFonts w:ascii="Arial" w:hAnsi="Arial" w:cs="Arial"/>
          <w:sz w:val="22"/>
          <w:szCs w:val="22"/>
        </w:rPr>
        <w:t xml:space="preserve">Any redundancy situation or restructuring that results or may result in significant changes to the employment terms of up to five employees will need to be authorised and signed off by the appropriate Head of Service.  </w:t>
      </w:r>
    </w:p>
    <w:p w14:paraId="07F6A38F"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90" w14:textId="77777777" w:rsidR="00BE757B" w:rsidRPr="00F14E90" w:rsidRDefault="00BE757B" w:rsidP="00F14E90">
      <w:pPr>
        <w:tabs>
          <w:tab w:val="left" w:pos="284"/>
        </w:tabs>
        <w:ind w:left="284" w:right="374" w:hanging="568"/>
        <w:rPr>
          <w:rFonts w:ascii="Arial" w:hAnsi="Arial" w:cs="Arial"/>
          <w:sz w:val="22"/>
          <w:szCs w:val="22"/>
        </w:rPr>
      </w:pPr>
      <w:proofErr w:type="gramStart"/>
      <w:r w:rsidRPr="00F14E90">
        <w:rPr>
          <w:rFonts w:ascii="Arial" w:hAnsi="Arial" w:cs="Arial"/>
          <w:sz w:val="22"/>
          <w:szCs w:val="22"/>
        </w:rPr>
        <w:t xml:space="preserve">3.2  </w:t>
      </w:r>
      <w:r w:rsidRPr="00F14E90">
        <w:rPr>
          <w:rFonts w:ascii="Arial" w:hAnsi="Arial" w:cs="Arial"/>
          <w:sz w:val="22"/>
          <w:szCs w:val="22"/>
        </w:rPr>
        <w:tab/>
      </w:r>
      <w:proofErr w:type="gramEnd"/>
      <w:r w:rsidRPr="00F14E90">
        <w:rPr>
          <w:rFonts w:ascii="Arial" w:hAnsi="Arial" w:cs="Arial"/>
          <w:sz w:val="22"/>
          <w:szCs w:val="22"/>
        </w:rPr>
        <w:t xml:space="preserve">Any redundancy situation or restructuring that results or may result in significant changes to the employment terms of more than five employees will need to be authorised and signed off by the appropriate Head of Service, Strategic Director and Portfolio Holder.  </w:t>
      </w:r>
    </w:p>
    <w:p w14:paraId="07F6A391"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92" w14:textId="77777777" w:rsidR="00BE757B" w:rsidRPr="00F14E90" w:rsidRDefault="00BE757B" w:rsidP="00F14E90">
      <w:pPr>
        <w:tabs>
          <w:tab w:val="left" w:pos="284"/>
        </w:tabs>
        <w:ind w:left="284" w:right="368" w:hanging="568"/>
        <w:rPr>
          <w:rFonts w:ascii="Arial" w:hAnsi="Arial" w:cs="Arial"/>
          <w:sz w:val="22"/>
          <w:szCs w:val="22"/>
        </w:rPr>
      </w:pPr>
      <w:proofErr w:type="gramStart"/>
      <w:r w:rsidRPr="00F14E90">
        <w:rPr>
          <w:rFonts w:ascii="Arial" w:hAnsi="Arial" w:cs="Arial"/>
          <w:sz w:val="22"/>
          <w:szCs w:val="22"/>
        </w:rPr>
        <w:t xml:space="preserve">3.3  </w:t>
      </w:r>
      <w:r w:rsidRPr="00F14E90">
        <w:rPr>
          <w:rFonts w:ascii="Arial" w:hAnsi="Arial" w:cs="Arial"/>
          <w:sz w:val="22"/>
          <w:szCs w:val="22"/>
        </w:rPr>
        <w:tab/>
      </w:r>
      <w:proofErr w:type="gramEnd"/>
      <w:r w:rsidRPr="00F14E90">
        <w:rPr>
          <w:rFonts w:ascii="Arial" w:hAnsi="Arial" w:cs="Arial"/>
          <w:sz w:val="22"/>
          <w:szCs w:val="22"/>
        </w:rPr>
        <w:t xml:space="preserve">There is a Redundancy Procedure Timetable available for managers to follow when planning restructures that may result in redundancies. </w:t>
      </w:r>
    </w:p>
    <w:p w14:paraId="07F6A393"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94"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95" w14:textId="77777777" w:rsidR="00BE757B" w:rsidRPr="00F14E90" w:rsidRDefault="00BE757B" w:rsidP="00F14E90">
      <w:pPr>
        <w:pStyle w:val="Heading1"/>
        <w:tabs>
          <w:tab w:val="left" w:pos="284"/>
        </w:tabs>
        <w:spacing w:after="0" w:line="240" w:lineRule="auto"/>
        <w:ind w:left="284" w:hanging="568"/>
        <w:rPr>
          <w:u w:val="single"/>
        </w:rPr>
      </w:pPr>
      <w:r w:rsidRPr="00F14E90">
        <w:rPr>
          <w:u w:val="single"/>
        </w:rPr>
        <w:t xml:space="preserve">Consultation </w:t>
      </w:r>
    </w:p>
    <w:p w14:paraId="07F6A396" w14:textId="77777777" w:rsidR="00BE757B" w:rsidRPr="00F14E90" w:rsidRDefault="00BE757B" w:rsidP="00F14E90">
      <w:pPr>
        <w:tabs>
          <w:tab w:val="left" w:pos="284"/>
        </w:tabs>
        <w:ind w:left="284" w:hanging="568"/>
        <w:rPr>
          <w:rFonts w:ascii="Arial" w:hAnsi="Arial" w:cs="Arial"/>
          <w:sz w:val="22"/>
          <w:szCs w:val="22"/>
        </w:rPr>
      </w:pPr>
      <w:r w:rsidRPr="00F14E90">
        <w:rPr>
          <w:rFonts w:ascii="Arial" w:eastAsia="Arial" w:hAnsi="Arial" w:cs="Arial"/>
          <w:b/>
          <w:sz w:val="22"/>
          <w:szCs w:val="22"/>
        </w:rPr>
        <w:t xml:space="preserve"> </w:t>
      </w:r>
    </w:p>
    <w:p w14:paraId="07F6A397"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4.1</w:t>
      </w:r>
      <w:r w:rsidR="00F14E90">
        <w:rPr>
          <w:rFonts w:ascii="Arial" w:hAnsi="Arial" w:cs="Arial"/>
          <w:sz w:val="22"/>
          <w:szCs w:val="22"/>
        </w:rPr>
        <w:tab/>
      </w:r>
      <w:r w:rsidRPr="00F14E90">
        <w:rPr>
          <w:rFonts w:ascii="Arial" w:hAnsi="Arial" w:cs="Arial"/>
          <w:sz w:val="22"/>
          <w:szCs w:val="22"/>
        </w:rPr>
        <w:t xml:space="preserve">The Council recognises the need to work with employees and Trade Unions in partnership (in terms of the Council/Trade Unions Partnership Agreement) and on an informal basis wherever possible. </w:t>
      </w:r>
      <w:proofErr w:type="gramStart"/>
      <w:r w:rsidRPr="00F14E90">
        <w:rPr>
          <w:rFonts w:ascii="Arial" w:hAnsi="Arial" w:cs="Arial"/>
          <w:sz w:val="22"/>
          <w:szCs w:val="22"/>
        </w:rPr>
        <w:t>Therefore</w:t>
      </w:r>
      <w:proofErr w:type="gramEnd"/>
      <w:r w:rsidRPr="00F14E90">
        <w:rPr>
          <w:rFonts w:ascii="Arial" w:hAnsi="Arial" w:cs="Arial"/>
          <w:sz w:val="22"/>
          <w:szCs w:val="22"/>
        </w:rPr>
        <w:t xml:space="preserve"> it is appropriate for recognised Trade Unions to be informed of potential redundancies in advance of formal consultation commencing. This will usually also include a copy of the business case, job descriptions, etc. – in short, as much of the detail covered in section 4.5 at least a week before formal consultation commences. </w:t>
      </w:r>
    </w:p>
    <w:p w14:paraId="07F6A398"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99" w14:textId="77777777" w:rsidR="00BE757B" w:rsidRPr="00F14E90" w:rsidRDefault="00F14E90" w:rsidP="00F14E90">
      <w:pPr>
        <w:tabs>
          <w:tab w:val="left" w:pos="284"/>
        </w:tabs>
        <w:ind w:left="284" w:right="374" w:hanging="568"/>
        <w:rPr>
          <w:rFonts w:ascii="Arial" w:hAnsi="Arial" w:cs="Arial"/>
          <w:sz w:val="22"/>
          <w:szCs w:val="22"/>
        </w:rPr>
      </w:pPr>
      <w:r>
        <w:rPr>
          <w:rFonts w:ascii="Arial" w:hAnsi="Arial" w:cs="Arial"/>
          <w:sz w:val="22"/>
          <w:szCs w:val="22"/>
        </w:rPr>
        <w:t xml:space="preserve">4.2    </w:t>
      </w:r>
      <w:r w:rsidR="00BE757B" w:rsidRPr="00F14E90">
        <w:rPr>
          <w:rFonts w:ascii="Arial" w:hAnsi="Arial" w:cs="Arial"/>
          <w:sz w:val="22"/>
          <w:szCs w:val="22"/>
        </w:rPr>
        <w:t xml:space="preserve">There must be robust and meaningful engagement with staff and the recognised Trade Unions on all restructuring proposals that may result in redundancies. The following formal consultation periods must be observed where the business case relates to redundancies based on the following: </w:t>
      </w:r>
    </w:p>
    <w:p w14:paraId="07F6A39A"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9B"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45 days where 100 or more redundancies are proposed;  </w:t>
      </w:r>
    </w:p>
    <w:p w14:paraId="07F6A39C"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30 days if between 20 and 99 redundancies are proposed;  </w:t>
      </w:r>
    </w:p>
    <w:p w14:paraId="07F6A39D"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Proposed reductions of less than 20 employees can have a locally agreed shorter period of consultation (14 days is the recommended time frame) of less than 30 days but no less than 5 working days.  </w:t>
      </w:r>
    </w:p>
    <w:p w14:paraId="07F6A39E"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9F" w14:textId="77777777" w:rsidR="00BE757B" w:rsidRDefault="00BE757B" w:rsidP="00F14E90">
      <w:pPr>
        <w:numPr>
          <w:ilvl w:val="1"/>
          <w:numId w:val="4"/>
        </w:numPr>
        <w:tabs>
          <w:tab w:val="left" w:pos="284"/>
        </w:tabs>
        <w:suppressAutoHyphens w:val="0"/>
        <w:ind w:left="284" w:right="368" w:hanging="568"/>
        <w:jc w:val="both"/>
        <w:rPr>
          <w:rFonts w:ascii="Arial" w:hAnsi="Arial" w:cs="Arial"/>
          <w:sz w:val="22"/>
          <w:szCs w:val="22"/>
        </w:rPr>
      </w:pPr>
      <w:r w:rsidRPr="00F14E90">
        <w:rPr>
          <w:rFonts w:ascii="Arial" w:hAnsi="Arial" w:cs="Arial"/>
          <w:sz w:val="22"/>
          <w:szCs w:val="22"/>
        </w:rPr>
        <w:t xml:space="preserve">Restructurings that may collectively result in reductions of 100 or more employees must be subject of collective consultation. The mechanism for collective consultation is through the Council’s Joint Committee for Negotiation and Consultation (JCNC) and will be led by the manager tasked with leading the change supported by an HR representative, noting that no redundancy dismissals can take effect until consultation is complete. </w:t>
      </w:r>
    </w:p>
    <w:p w14:paraId="07F6A3A0" w14:textId="77777777" w:rsidR="00F14E90" w:rsidRPr="00F14E90" w:rsidRDefault="00F14E90" w:rsidP="00F14E90">
      <w:pPr>
        <w:tabs>
          <w:tab w:val="left" w:pos="284"/>
        </w:tabs>
        <w:suppressAutoHyphens w:val="0"/>
        <w:ind w:left="284" w:right="368"/>
        <w:jc w:val="both"/>
        <w:rPr>
          <w:rFonts w:ascii="Arial" w:hAnsi="Arial" w:cs="Arial"/>
          <w:sz w:val="22"/>
          <w:szCs w:val="22"/>
        </w:rPr>
      </w:pPr>
    </w:p>
    <w:p w14:paraId="07F6A3A1" w14:textId="77777777" w:rsidR="00BE757B" w:rsidRPr="00F14E90" w:rsidRDefault="00BE757B" w:rsidP="00F14E90">
      <w:pPr>
        <w:numPr>
          <w:ilvl w:val="1"/>
          <w:numId w:val="4"/>
        </w:numPr>
        <w:tabs>
          <w:tab w:val="left" w:pos="284"/>
        </w:tabs>
        <w:suppressAutoHyphens w:val="0"/>
        <w:ind w:left="284" w:right="368" w:hanging="568"/>
        <w:jc w:val="both"/>
        <w:rPr>
          <w:rFonts w:ascii="Arial" w:hAnsi="Arial" w:cs="Arial"/>
          <w:sz w:val="22"/>
          <w:szCs w:val="22"/>
        </w:rPr>
      </w:pPr>
      <w:r w:rsidRPr="00F14E90">
        <w:rPr>
          <w:rFonts w:ascii="Arial" w:hAnsi="Arial" w:cs="Arial"/>
          <w:sz w:val="22"/>
          <w:szCs w:val="22"/>
        </w:rPr>
        <w:t xml:space="preserve">Consultation should precede any decision to terminate employment on the grounds of redundancy. Consultation must take place between the Council, Trade Unions and employees. The lead manager for the restructure will arrange and lead an initial pre-consultation meeting with representatives from the recognised Trade Unions. The meeting will be arranged at a mutually convenient time. </w:t>
      </w:r>
    </w:p>
    <w:p w14:paraId="07F6A3A2"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A3" w14:textId="77777777" w:rsidR="00BE757B" w:rsidRPr="00F14E90" w:rsidRDefault="00BE757B" w:rsidP="00F14E90">
      <w:pPr>
        <w:numPr>
          <w:ilvl w:val="1"/>
          <w:numId w:val="4"/>
        </w:numPr>
        <w:tabs>
          <w:tab w:val="left" w:pos="284"/>
        </w:tabs>
        <w:suppressAutoHyphens w:val="0"/>
        <w:ind w:left="284" w:right="368" w:hanging="568"/>
        <w:jc w:val="both"/>
        <w:rPr>
          <w:rFonts w:ascii="Arial" w:hAnsi="Arial" w:cs="Arial"/>
          <w:sz w:val="22"/>
          <w:szCs w:val="22"/>
        </w:rPr>
      </w:pPr>
      <w:r w:rsidRPr="00F14E90">
        <w:rPr>
          <w:rFonts w:ascii="Arial" w:hAnsi="Arial" w:cs="Arial"/>
          <w:sz w:val="22"/>
          <w:szCs w:val="22"/>
        </w:rPr>
        <w:t xml:space="preserve">The lead manager for the restructure will provide written details to Trade Unions outlining matters for discussion and </w:t>
      </w:r>
      <w:proofErr w:type="gramStart"/>
      <w:r w:rsidRPr="00F14E90">
        <w:rPr>
          <w:rFonts w:ascii="Arial" w:hAnsi="Arial" w:cs="Arial"/>
          <w:sz w:val="22"/>
          <w:szCs w:val="22"/>
        </w:rPr>
        <w:t>may  include</w:t>
      </w:r>
      <w:proofErr w:type="gramEnd"/>
      <w:r w:rsidRPr="00F14E90">
        <w:rPr>
          <w:rFonts w:ascii="Arial" w:hAnsi="Arial" w:cs="Arial"/>
          <w:sz w:val="22"/>
          <w:szCs w:val="22"/>
        </w:rPr>
        <w:t xml:space="preserve"> the following information (at least a week before pre-consultation meeting):  </w:t>
      </w:r>
    </w:p>
    <w:p w14:paraId="07F6A3A4"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the reason for the proposed redundancy (redundancies); </w:t>
      </w:r>
    </w:p>
    <w:p w14:paraId="07F6A3A5"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the number and categories of employees who are expected to be affected; </w:t>
      </w:r>
    </w:p>
    <w:p w14:paraId="07F6A3A6"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the total numbers in each category of employees employed at the establishment concerned; </w:t>
      </w:r>
    </w:p>
    <w:p w14:paraId="07F6A3A7"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confirmation of discussions on appropriate selection criteria with Trade Unions; </w:t>
      </w:r>
    </w:p>
    <w:p w14:paraId="07F6A3A8"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the proposed method of carrying out the redundancies, with due regard to the period over which the redundancies are to take effect; </w:t>
      </w:r>
    </w:p>
    <w:p w14:paraId="07F6A3A9"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suggestions on redundancy selection criteria; and </w:t>
      </w:r>
    </w:p>
    <w:p w14:paraId="07F6A3AA"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lastRenderedPageBreak/>
        <w:t xml:space="preserve">a copy of the Equality Impact Assessment for the restructure or change process that may give rise to a redundancy situation.  </w:t>
      </w:r>
    </w:p>
    <w:p w14:paraId="07F6A3AB"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AC"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4.6 </w:t>
      </w:r>
      <w:r w:rsidR="00F14E90">
        <w:rPr>
          <w:rFonts w:ascii="Arial" w:hAnsi="Arial" w:cs="Arial"/>
          <w:sz w:val="22"/>
          <w:szCs w:val="22"/>
        </w:rPr>
        <w:tab/>
      </w:r>
      <w:r w:rsidRPr="00F14E90">
        <w:rPr>
          <w:rFonts w:ascii="Arial" w:hAnsi="Arial" w:cs="Arial"/>
          <w:sz w:val="22"/>
          <w:szCs w:val="22"/>
        </w:rPr>
        <w:t xml:space="preserve">A pre-consultation meeting will be arranged by the lead manager and HR with Trade Union representatives. The purpose of this meeting is:  </w:t>
      </w:r>
    </w:p>
    <w:p w14:paraId="07F6A3AD"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to discuss the reasons for potential redundancies;  </w:t>
      </w:r>
    </w:p>
    <w:p w14:paraId="07F6A3AE"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to consider ways of avoiding redundancies;  </w:t>
      </w:r>
    </w:p>
    <w:p w14:paraId="07F6A3AF"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to discuss and agree the selection criteria should it remain necessary to make redundancies after the consultation period; and  </w:t>
      </w:r>
    </w:p>
    <w:p w14:paraId="07F6A3B0"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to discuss the restructure/change timetable and agree dates for meetings.  </w:t>
      </w:r>
    </w:p>
    <w:p w14:paraId="07F6A3B1"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B2" w14:textId="77777777" w:rsidR="00BE757B" w:rsidRPr="00F14E90" w:rsidRDefault="00BE757B" w:rsidP="00F14E90">
      <w:pPr>
        <w:numPr>
          <w:ilvl w:val="1"/>
          <w:numId w:val="5"/>
        </w:numPr>
        <w:tabs>
          <w:tab w:val="left" w:pos="284"/>
        </w:tabs>
        <w:suppressAutoHyphens w:val="0"/>
        <w:ind w:left="284" w:right="368" w:hanging="568"/>
        <w:jc w:val="both"/>
        <w:rPr>
          <w:rFonts w:ascii="Arial" w:hAnsi="Arial" w:cs="Arial"/>
          <w:sz w:val="22"/>
          <w:szCs w:val="22"/>
        </w:rPr>
      </w:pPr>
      <w:r w:rsidRPr="00F14E90">
        <w:rPr>
          <w:rFonts w:ascii="Arial" w:hAnsi="Arial" w:cs="Arial"/>
          <w:sz w:val="22"/>
          <w:szCs w:val="22"/>
        </w:rPr>
        <w:t xml:space="preserve">Detailed notes should be taken of this meeting and confirmation of the outcomes placed in writing to the relevant Trade Unions. </w:t>
      </w:r>
    </w:p>
    <w:p w14:paraId="07F6A3B3"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B4" w14:textId="77777777" w:rsidR="00BE757B" w:rsidRPr="00F14E90" w:rsidRDefault="00BE757B" w:rsidP="00F14E90">
      <w:pPr>
        <w:numPr>
          <w:ilvl w:val="1"/>
          <w:numId w:val="5"/>
        </w:numPr>
        <w:tabs>
          <w:tab w:val="left" w:pos="284"/>
        </w:tabs>
        <w:suppressAutoHyphens w:val="0"/>
        <w:ind w:left="284" w:right="368" w:hanging="568"/>
        <w:jc w:val="both"/>
        <w:rPr>
          <w:rFonts w:ascii="Arial" w:hAnsi="Arial" w:cs="Arial"/>
          <w:sz w:val="22"/>
          <w:szCs w:val="22"/>
        </w:rPr>
      </w:pPr>
      <w:r w:rsidRPr="00F14E90">
        <w:rPr>
          <w:rFonts w:ascii="Arial" w:hAnsi="Arial" w:cs="Arial"/>
          <w:sz w:val="22"/>
          <w:szCs w:val="22"/>
        </w:rPr>
        <w:t xml:space="preserve">Formal Consultation will commence with employees at the earliest possible opportunity following the pre-consultation meeting. </w:t>
      </w:r>
    </w:p>
    <w:p w14:paraId="07F6A3B5"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B6" w14:textId="77777777" w:rsidR="00BE757B" w:rsidRPr="00F14E90" w:rsidRDefault="00BE757B" w:rsidP="00F14E90">
      <w:pPr>
        <w:numPr>
          <w:ilvl w:val="1"/>
          <w:numId w:val="5"/>
        </w:numPr>
        <w:tabs>
          <w:tab w:val="left" w:pos="284"/>
        </w:tabs>
        <w:suppressAutoHyphens w:val="0"/>
        <w:ind w:left="284" w:right="368" w:hanging="568"/>
        <w:jc w:val="both"/>
        <w:rPr>
          <w:rFonts w:ascii="Arial" w:hAnsi="Arial" w:cs="Arial"/>
          <w:sz w:val="22"/>
          <w:szCs w:val="22"/>
        </w:rPr>
      </w:pPr>
      <w:r w:rsidRPr="00F14E90">
        <w:rPr>
          <w:rFonts w:ascii="Arial" w:hAnsi="Arial" w:cs="Arial"/>
          <w:sz w:val="22"/>
          <w:szCs w:val="22"/>
        </w:rPr>
        <w:t xml:space="preserve">The consultation process with employees will be led by the lead manager, who should arrange these meetings as a group in the first instance, with an opportunity for individual employees to request a “one to one” session with the manager during the consultation period. Employees should be advised that they have the right to be represented by a Trade Union official at any consultation meeting. </w:t>
      </w:r>
    </w:p>
    <w:p w14:paraId="07F6A3B7"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B8" w14:textId="77777777" w:rsidR="00BE757B" w:rsidRPr="00F14E90" w:rsidRDefault="00BE757B" w:rsidP="00F14E90">
      <w:pPr>
        <w:numPr>
          <w:ilvl w:val="1"/>
          <w:numId w:val="5"/>
        </w:numPr>
        <w:tabs>
          <w:tab w:val="left" w:pos="284"/>
        </w:tabs>
        <w:suppressAutoHyphens w:val="0"/>
        <w:ind w:left="284" w:right="368" w:hanging="568"/>
        <w:jc w:val="both"/>
        <w:rPr>
          <w:rFonts w:ascii="Arial" w:hAnsi="Arial" w:cs="Arial"/>
          <w:sz w:val="22"/>
          <w:szCs w:val="22"/>
        </w:rPr>
      </w:pPr>
      <w:r w:rsidRPr="00F14E90">
        <w:rPr>
          <w:rFonts w:ascii="Arial" w:hAnsi="Arial" w:cs="Arial"/>
          <w:sz w:val="22"/>
          <w:szCs w:val="22"/>
        </w:rPr>
        <w:t xml:space="preserve">An HR representative should be present at all the group consultation meetings. Written notes of these meetings should be made and all employees should sign an attendance sheet to confirm their attendance at the meeting. If an employee cannot attend they should be sent a written record of the meeting. </w:t>
      </w:r>
    </w:p>
    <w:p w14:paraId="07F6A3B9"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BA" w14:textId="77777777" w:rsidR="00BE757B" w:rsidRPr="00F14E90" w:rsidRDefault="00BE757B" w:rsidP="00F14E90">
      <w:pPr>
        <w:numPr>
          <w:ilvl w:val="1"/>
          <w:numId w:val="5"/>
        </w:numPr>
        <w:tabs>
          <w:tab w:val="left" w:pos="284"/>
        </w:tabs>
        <w:suppressAutoHyphens w:val="0"/>
        <w:ind w:left="284" w:right="368" w:hanging="568"/>
        <w:jc w:val="both"/>
        <w:rPr>
          <w:rFonts w:ascii="Arial" w:hAnsi="Arial" w:cs="Arial"/>
          <w:sz w:val="22"/>
          <w:szCs w:val="22"/>
        </w:rPr>
      </w:pPr>
      <w:r w:rsidRPr="00F14E90">
        <w:rPr>
          <w:rFonts w:ascii="Arial" w:hAnsi="Arial" w:cs="Arial"/>
          <w:sz w:val="22"/>
          <w:szCs w:val="22"/>
        </w:rPr>
        <w:t xml:space="preserve">At the group consultation meeting, employee(s) should be advised of the following: </w:t>
      </w:r>
    </w:p>
    <w:p w14:paraId="07F6A3BB"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BC"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reasons for the redundancies;  </w:t>
      </w:r>
    </w:p>
    <w:p w14:paraId="07F6A3BD"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the nature of the formal consultation period in which the employee has an opportunity to offer comments/thoughts/ideas etc. on ways of avoiding redundancies;  </w:t>
      </w:r>
    </w:p>
    <w:p w14:paraId="07F6A3BE"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the redundancy selection criteria to be used to select staff for redundancy;  </w:t>
      </w:r>
    </w:p>
    <w:p w14:paraId="07F6A3BF"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they have the opportunity to raise any questions they have on any aspect of the consultation or the reasons and process for the redundancies;  </w:t>
      </w:r>
    </w:p>
    <w:p w14:paraId="07F6A3C0"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the ways in which the Council will be trying to avoid redundancies such as redeployment/other measures;  </w:t>
      </w:r>
    </w:p>
    <w:p w14:paraId="07F6A3C1"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that there will be a right of appeal if the consultation results in staff reductions and they are selected for redundancy; and  </w:t>
      </w:r>
    </w:p>
    <w:p w14:paraId="07F6A3C2" w14:textId="77777777" w:rsidR="00BE757B" w:rsidRPr="00F14E90" w:rsidRDefault="00BE757B" w:rsidP="00F14E90">
      <w:pPr>
        <w:numPr>
          <w:ilvl w:val="0"/>
          <w:numId w:val="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that they may arrange further meetings as necessary to ensure that all relevant avenues are explored to avoid redundancies.  </w:t>
      </w:r>
    </w:p>
    <w:p w14:paraId="07F6A3C3"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C4" w14:textId="77777777" w:rsidR="00BE757B" w:rsidRPr="00F14E90" w:rsidRDefault="00BE757B" w:rsidP="00F14E90">
      <w:pPr>
        <w:numPr>
          <w:ilvl w:val="1"/>
          <w:numId w:val="6"/>
        </w:numPr>
        <w:tabs>
          <w:tab w:val="left" w:pos="284"/>
        </w:tabs>
        <w:suppressAutoHyphens w:val="0"/>
        <w:ind w:left="284" w:right="368" w:hanging="568"/>
        <w:jc w:val="both"/>
        <w:rPr>
          <w:rFonts w:ascii="Arial" w:hAnsi="Arial" w:cs="Arial"/>
          <w:sz w:val="22"/>
          <w:szCs w:val="22"/>
        </w:rPr>
      </w:pPr>
      <w:r w:rsidRPr="00F14E90">
        <w:rPr>
          <w:rFonts w:ascii="Arial" w:hAnsi="Arial" w:cs="Arial"/>
          <w:sz w:val="22"/>
          <w:szCs w:val="22"/>
        </w:rPr>
        <w:t xml:space="preserve">Following these meetings, written confirmation will be sent to each employee confirming the points discussed and advising them of the date that the consultation period finishes. </w:t>
      </w:r>
    </w:p>
    <w:p w14:paraId="07F6A3C5"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C6" w14:textId="77777777" w:rsidR="00BE757B" w:rsidRPr="00F14E90" w:rsidRDefault="00BE757B" w:rsidP="00F14E90">
      <w:pPr>
        <w:numPr>
          <w:ilvl w:val="1"/>
          <w:numId w:val="6"/>
        </w:numPr>
        <w:tabs>
          <w:tab w:val="left" w:pos="284"/>
        </w:tabs>
        <w:suppressAutoHyphens w:val="0"/>
        <w:ind w:left="284" w:right="368" w:hanging="568"/>
        <w:jc w:val="both"/>
        <w:rPr>
          <w:rFonts w:ascii="Arial" w:hAnsi="Arial" w:cs="Arial"/>
          <w:sz w:val="22"/>
          <w:szCs w:val="22"/>
        </w:rPr>
      </w:pPr>
      <w:r w:rsidRPr="00F14E90">
        <w:rPr>
          <w:rFonts w:ascii="Arial" w:hAnsi="Arial" w:cs="Arial"/>
          <w:sz w:val="22"/>
          <w:szCs w:val="22"/>
        </w:rPr>
        <w:t xml:space="preserve">Once the formal consultation period ends all employees that have been consulted with will be written to and informed whether the proposals have been changed following consultation. They will also be given a copy of anonymised comments and responses to comments raised during the consultation. </w:t>
      </w:r>
    </w:p>
    <w:p w14:paraId="07F6A3C7"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C8" w14:textId="77777777" w:rsidR="004F1717"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C9" w14:textId="77777777" w:rsidR="004F1717" w:rsidRDefault="004F1717">
      <w:pPr>
        <w:suppressAutoHyphens w:val="0"/>
        <w:spacing w:after="160" w:line="259" w:lineRule="auto"/>
        <w:rPr>
          <w:rFonts w:ascii="Arial" w:hAnsi="Arial" w:cs="Arial"/>
          <w:sz w:val="22"/>
          <w:szCs w:val="22"/>
        </w:rPr>
      </w:pPr>
      <w:r>
        <w:rPr>
          <w:rFonts w:ascii="Arial" w:hAnsi="Arial" w:cs="Arial"/>
          <w:sz w:val="22"/>
          <w:szCs w:val="22"/>
        </w:rPr>
        <w:br w:type="page"/>
      </w:r>
    </w:p>
    <w:p w14:paraId="07F6A3CA" w14:textId="77777777" w:rsidR="00BE757B" w:rsidRPr="00F14E90" w:rsidRDefault="00BE757B" w:rsidP="00F14E90">
      <w:pPr>
        <w:tabs>
          <w:tab w:val="left" w:pos="284"/>
        </w:tabs>
        <w:ind w:left="284" w:hanging="568"/>
        <w:rPr>
          <w:rFonts w:ascii="Arial" w:hAnsi="Arial" w:cs="Arial"/>
          <w:sz w:val="22"/>
          <w:szCs w:val="22"/>
        </w:rPr>
      </w:pPr>
    </w:p>
    <w:p w14:paraId="07F6A3CB" w14:textId="77777777" w:rsidR="00BE757B" w:rsidRPr="00F14E90" w:rsidRDefault="00BE757B" w:rsidP="00F14E90">
      <w:pPr>
        <w:pStyle w:val="Heading1"/>
        <w:tabs>
          <w:tab w:val="left" w:pos="284"/>
        </w:tabs>
        <w:spacing w:after="0" w:line="240" w:lineRule="auto"/>
        <w:ind w:left="284" w:hanging="568"/>
        <w:rPr>
          <w:u w:val="single"/>
        </w:rPr>
      </w:pPr>
      <w:r w:rsidRPr="00F14E90">
        <w:rPr>
          <w:u w:val="single"/>
        </w:rPr>
        <w:t xml:space="preserve">Measures to Avoid Compulsory Redundancies </w:t>
      </w:r>
    </w:p>
    <w:p w14:paraId="07F6A3CC"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CD" w14:textId="77777777" w:rsidR="00BE757B" w:rsidRPr="00F14E90" w:rsidRDefault="00BE757B" w:rsidP="00F14E90">
      <w:pPr>
        <w:tabs>
          <w:tab w:val="left" w:pos="284"/>
          <w:tab w:val="center" w:pos="528"/>
          <w:tab w:val="center" w:pos="4163"/>
        </w:tabs>
        <w:ind w:left="284" w:hanging="568"/>
        <w:rPr>
          <w:rFonts w:ascii="Arial" w:hAnsi="Arial" w:cs="Arial"/>
          <w:sz w:val="22"/>
          <w:szCs w:val="22"/>
        </w:rPr>
      </w:pPr>
      <w:r w:rsidRPr="00F14E90">
        <w:rPr>
          <w:rFonts w:ascii="Arial" w:hAnsi="Arial" w:cs="Arial"/>
          <w:sz w:val="24"/>
          <w:szCs w:val="22"/>
        </w:rPr>
        <w:t xml:space="preserve">5.1 </w:t>
      </w:r>
      <w:r w:rsidRPr="00F14E90">
        <w:rPr>
          <w:rFonts w:ascii="Arial" w:hAnsi="Arial" w:cs="Arial"/>
          <w:sz w:val="22"/>
          <w:szCs w:val="22"/>
        </w:rPr>
        <w:tab/>
        <w:t xml:space="preserve">Measures to avoid compulsory redundancies will include: </w:t>
      </w:r>
    </w:p>
    <w:p w14:paraId="07F6A3CE"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CF" w14:textId="77777777" w:rsidR="00BE757B" w:rsidRPr="00F14E90" w:rsidRDefault="00BE757B" w:rsidP="00F14E90">
      <w:pPr>
        <w:numPr>
          <w:ilvl w:val="0"/>
          <w:numId w:val="7"/>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seeking volunteers; </w:t>
      </w:r>
    </w:p>
    <w:p w14:paraId="07F6A3D0" w14:textId="77777777" w:rsidR="00BE757B" w:rsidRPr="00F14E90" w:rsidRDefault="00BE757B" w:rsidP="00F14E90">
      <w:pPr>
        <w:numPr>
          <w:ilvl w:val="0"/>
          <w:numId w:val="7"/>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voluntary reduction in hours, including the cessation of overtime working; </w:t>
      </w:r>
      <w:r w:rsidRPr="00F14E90">
        <w:rPr>
          <w:rFonts w:ascii="Arial" w:eastAsia="Segoe UI Symbol" w:hAnsi="Arial" w:cs="Arial"/>
          <w:sz w:val="22"/>
          <w:szCs w:val="22"/>
        </w:rPr>
        <w:t></w:t>
      </w:r>
      <w:r w:rsidRPr="00F14E90">
        <w:rPr>
          <w:rFonts w:ascii="Arial" w:hAnsi="Arial" w:cs="Arial"/>
          <w:sz w:val="22"/>
          <w:szCs w:val="22"/>
        </w:rPr>
        <w:t xml:space="preserve"> job sharing;  </w:t>
      </w:r>
    </w:p>
    <w:p w14:paraId="07F6A3D1" w14:textId="77777777" w:rsidR="00BE757B" w:rsidRPr="00F14E90" w:rsidRDefault="00BE757B" w:rsidP="00F14E90">
      <w:pPr>
        <w:numPr>
          <w:ilvl w:val="0"/>
          <w:numId w:val="7"/>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natural attrition (wastage); </w:t>
      </w:r>
    </w:p>
    <w:p w14:paraId="07F6A3D2" w14:textId="77777777" w:rsidR="00BE757B" w:rsidRPr="00F14E90" w:rsidRDefault="00BE757B" w:rsidP="00F14E90">
      <w:pPr>
        <w:numPr>
          <w:ilvl w:val="0"/>
          <w:numId w:val="7"/>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“bumping” </w:t>
      </w:r>
      <w:proofErr w:type="gramStart"/>
      <w:r w:rsidRPr="00F14E90">
        <w:rPr>
          <w:rFonts w:ascii="Arial" w:hAnsi="Arial" w:cs="Arial"/>
          <w:sz w:val="22"/>
          <w:szCs w:val="22"/>
        </w:rPr>
        <w:t>-  where</w:t>
      </w:r>
      <w:proofErr w:type="gramEnd"/>
      <w:r w:rsidRPr="00F14E90">
        <w:rPr>
          <w:rFonts w:ascii="Arial" w:hAnsi="Arial" w:cs="Arial"/>
          <w:sz w:val="22"/>
          <w:szCs w:val="22"/>
        </w:rPr>
        <w:t xml:space="preserve"> an employee whose role is redundant is redeployed into another role and the displaced occupier of that role agrees to redundancy instead; </w:t>
      </w:r>
    </w:p>
    <w:p w14:paraId="07F6A3D3" w14:textId="77777777" w:rsidR="00BE757B" w:rsidRPr="00F14E90" w:rsidRDefault="00BE757B" w:rsidP="00F14E90">
      <w:pPr>
        <w:numPr>
          <w:ilvl w:val="0"/>
          <w:numId w:val="7"/>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making details available of any early retirement or voluntary redundancy package that may be available;  </w:t>
      </w:r>
    </w:p>
    <w:p w14:paraId="07F6A3D4" w14:textId="77777777" w:rsidR="00BE757B" w:rsidRPr="00F14E90" w:rsidRDefault="00BE757B" w:rsidP="00F14E90">
      <w:pPr>
        <w:numPr>
          <w:ilvl w:val="0"/>
          <w:numId w:val="7"/>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early restriction on recruitment and non-replacement of posts;  </w:t>
      </w:r>
    </w:p>
    <w:p w14:paraId="07F6A3D5" w14:textId="77777777" w:rsidR="00BE757B" w:rsidRPr="00F14E90" w:rsidRDefault="00BE757B" w:rsidP="00F14E90">
      <w:pPr>
        <w:numPr>
          <w:ilvl w:val="0"/>
          <w:numId w:val="7"/>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redeployment within the Council; and  </w:t>
      </w:r>
    </w:p>
    <w:p w14:paraId="07F6A3D6" w14:textId="77777777" w:rsidR="00BE757B" w:rsidRPr="00F14E90" w:rsidRDefault="00BE757B" w:rsidP="00F14E90">
      <w:pPr>
        <w:numPr>
          <w:ilvl w:val="0"/>
          <w:numId w:val="7"/>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re-training of employees to meet requirements of vacant posts internally (as reasonable/ proportionate)  </w:t>
      </w:r>
    </w:p>
    <w:p w14:paraId="07F6A3D7"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D8" w14:textId="77777777" w:rsidR="00BE757B" w:rsidRPr="00F14E90" w:rsidRDefault="00BE757B" w:rsidP="00F14E90">
      <w:pPr>
        <w:numPr>
          <w:ilvl w:val="1"/>
          <w:numId w:val="8"/>
        </w:numPr>
        <w:tabs>
          <w:tab w:val="left" w:pos="284"/>
        </w:tabs>
        <w:suppressAutoHyphens w:val="0"/>
        <w:ind w:left="284" w:right="368" w:hanging="568"/>
        <w:jc w:val="both"/>
        <w:rPr>
          <w:rFonts w:ascii="Arial" w:hAnsi="Arial" w:cs="Arial"/>
          <w:sz w:val="22"/>
          <w:szCs w:val="22"/>
        </w:rPr>
      </w:pPr>
      <w:r w:rsidRPr="00F14E90">
        <w:rPr>
          <w:rFonts w:ascii="Arial" w:hAnsi="Arial" w:cs="Arial"/>
          <w:sz w:val="22"/>
          <w:szCs w:val="22"/>
        </w:rPr>
        <w:t>As From 8</w:t>
      </w:r>
      <w:r w:rsidRPr="00F14E90">
        <w:rPr>
          <w:rFonts w:ascii="Arial" w:hAnsi="Arial" w:cs="Arial"/>
          <w:sz w:val="22"/>
          <w:szCs w:val="22"/>
          <w:vertAlign w:val="superscript"/>
        </w:rPr>
        <w:t>th</w:t>
      </w:r>
      <w:r w:rsidRPr="00F14E90">
        <w:rPr>
          <w:rFonts w:ascii="Arial" w:hAnsi="Arial" w:cs="Arial"/>
          <w:sz w:val="22"/>
          <w:szCs w:val="22"/>
        </w:rPr>
        <w:t xml:space="preserve"> October 2018, the Council no longer offers an enhanced payment for voluntary redundancy.  </w:t>
      </w:r>
    </w:p>
    <w:p w14:paraId="07F6A3D9"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DA" w14:textId="77777777" w:rsidR="00BE757B" w:rsidRPr="00F14E90" w:rsidRDefault="00BE757B" w:rsidP="00F14E90">
      <w:pPr>
        <w:numPr>
          <w:ilvl w:val="1"/>
          <w:numId w:val="8"/>
        </w:numPr>
        <w:tabs>
          <w:tab w:val="left" w:pos="284"/>
        </w:tabs>
        <w:suppressAutoHyphens w:val="0"/>
        <w:ind w:left="284" w:right="368" w:hanging="568"/>
        <w:jc w:val="both"/>
        <w:rPr>
          <w:rFonts w:ascii="Arial" w:hAnsi="Arial" w:cs="Arial"/>
          <w:sz w:val="22"/>
          <w:szCs w:val="22"/>
        </w:rPr>
      </w:pPr>
      <w:r w:rsidRPr="00F14E90">
        <w:rPr>
          <w:rFonts w:ascii="Arial" w:hAnsi="Arial" w:cs="Arial"/>
          <w:sz w:val="22"/>
          <w:szCs w:val="22"/>
        </w:rPr>
        <w:t xml:space="preserve">Further guidance on redeployment can be found in the Council’s Redeployment Policy. </w:t>
      </w:r>
    </w:p>
    <w:p w14:paraId="07F6A3DB"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DC"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DD" w14:textId="77777777" w:rsidR="00BE757B" w:rsidRPr="00F14E90" w:rsidRDefault="00BE757B" w:rsidP="00F14E90">
      <w:pPr>
        <w:pStyle w:val="Heading1"/>
        <w:tabs>
          <w:tab w:val="left" w:pos="284"/>
        </w:tabs>
        <w:spacing w:after="0" w:line="240" w:lineRule="auto"/>
        <w:ind w:left="284" w:hanging="568"/>
        <w:rPr>
          <w:u w:val="single"/>
        </w:rPr>
      </w:pPr>
      <w:r w:rsidRPr="00F14E90">
        <w:rPr>
          <w:u w:val="single"/>
        </w:rPr>
        <w:t xml:space="preserve">Selection for redundancy – criteria and process </w:t>
      </w:r>
    </w:p>
    <w:p w14:paraId="07F6A3DE"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DF"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6.1 </w:t>
      </w:r>
      <w:r w:rsidR="00F14E90">
        <w:rPr>
          <w:rFonts w:ascii="Arial" w:hAnsi="Arial" w:cs="Arial"/>
          <w:sz w:val="22"/>
          <w:szCs w:val="22"/>
        </w:rPr>
        <w:tab/>
      </w:r>
      <w:r w:rsidRPr="00F14E90">
        <w:rPr>
          <w:rFonts w:ascii="Arial" w:hAnsi="Arial" w:cs="Arial"/>
          <w:sz w:val="22"/>
          <w:szCs w:val="22"/>
        </w:rPr>
        <w:t xml:space="preserve">The Council recognises that in determining who should be selected for redundancy, an appropriate “selection pool” needs to be determined – there are no fixed rules as to how this selection pool should be defined. In deciding whether a redundancy selection pool was fair, an employment tribunal cannot substitute its own view of the appropriate pool, but it can decide whether the pool chosen by an employer (in this case the Council) was within the range of what is termed, “reasonable responses”. It may be the case that the Council may wish to select a particular employee in isolation (a selection pool of one) and this may be done on the strict proviso that the employee selected occupies a unique or highly specialised job role and that there are no other employees performing a very similar role with similar qualifications and/or expertise. </w:t>
      </w:r>
    </w:p>
    <w:p w14:paraId="07F6A3E0"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E1"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6.2 </w:t>
      </w:r>
      <w:r w:rsidR="00F14E90">
        <w:rPr>
          <w:rFonts w:ascii="Arial" w:hAnsi="Arial" w:cs="Arial"/>
          <w:sz w:val="22"/>
          <w:szCs w:val="22"/>
        </w:rPr>
        <w:tab/>
      </w:r>
      <w:r w:rsidRPr="00F14E90">
        <w:rPr>
          <w:rFonts w:ascii="Arial" w:hAnsi="Arial" w:cs="Arial"/>
          <w:sz w:val="22"/>
          <w:szCs w:val="22"/>
        </w:rPr>
        <w:t xml:space="preserve">In terms of selecting the right pool, the starting point is to determine which particular kind of work is ceasing or diminishing and which employees perform that kind of work. For example, if it is determined that the work undertaken by Accountants is set to diminish, the Council may decide, in agreement with the recognised Trade Unions, that all Accountants within the entire Council, as well as those employees performing very similar work with similar qualifications, should be placed in the selection pool. “Similar work”, for the purposes of this policy only, shall mean those employees who, although not necessarily holding the same job title, perform two-thirds or more of the job description of employees whose work is set to diminish. </w:t>
      </w:r>
    </w:p>
    <w:p w14:paraId="07F6A3E2"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E3"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6.3 </w:t>
      </w:r>
      <w:r w:rsidR="00F14E90">
        <w:rPr>
          <w:rFonts w:ascii="Arial" w:hAnsi="Arial" w:cs="Arial"/>
          <w:sz w:val="22"/>
          <w:szCs w:val="22"/>
        </w:rPr>
        <w:tab/>
      </w:r>
      <w:r w:rsidRPr="00F14E90">
        <w:rPr>
          <w:rFonts w:ascii="Arial" w:hAnsi="Arial" w:cs="Arial"/>
          <w:sz w:val="22"/>
          <w:szCs w:val="22"/>
        </w:rPr>
        <w:t xml:space="preserve">HR representatives/ Managers and Trade Union representatives should be consulted in </w:t>
      </w:r>
      <w:r w:rsidRPr="00F14E90">
        <w:rPr>
          <w:rFonts w:ascii="Arial" w:eastAsia="Arial" w:hAnsi="Arial" w:cs="Arial"/>
          <w:i/>
          <w:sz w:val="22"/>
          <w:szCs w:val="22"/>
        </w:rPr>
        <w:t xml:space="preserve">all </w:t>
      </w:r>
      <w:r w:rsidRPr="00F14E90">
        <w:rPr>
          <w:rFonts w:ascii="Arial" w:hAnsi="Arial" w:cs="Arial"/>
          <w:sz w:val="22"/>
          <w:szCs w:val="22"/>
        </w:rPr>
        <w:t xml:space="preserve">cases when determining a fair selection pool and wherever possible, firm agreement needs to be reached, with the key proviso that the Council will, in all cases, genuinely apply its mind to the issue of who should be in the “selection pool”. </w:t>
      </w:r>
    </w:p>
    <w:p w14:paraId="07F6A3E4"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E5"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6.4 </w:t>
      </w:r>
      <w:r w:rsidR="00F14E90">
        <w:rPr>
          <w:rFonts w:ascii="Arial" w:hAnsi="Arial" w:cs="Arial"/>
          <w:sz w:val="22"/>
          <w:szCs w:val="22"/>
        </w:rPr>
        <w:tab/>
      </w:r>
      <w:r w:rsidRPr="00F14E90">
        <w:rPr>
          <w:rFonts w:ascii="Arial" w:hAnsi="Arial" w:cs="Arial"/>
          <w:sz w:val="22"/>
          <w:szCs w:val="22"/>
        </w:rPr>
        <w:t xml:space="preserve">Once the selection pool has been determined, it will be necessary to determine which employees should be made redundant. In all cases, this will be done using an interview process (not entirely dissimilar to a recruitment interview) but based on the following criteria: work performance, skill/competence, disciplinary record and attendance record as well as competency-based interview questions. Should a manager wish to utilise additional criteria, these criteria need to be ratified by an HR Practitioner/ Manager and subsequently agreed </w:t>
      </w:r>
      <w:r w:rsidRPr="00F14E90">
        <w:rPr>
          <w:rFonts w:ascii="Arial" w:hAnsi="Arial" w:cs="Arial"/>
          <w:sz w:val="22"/>
          <w:szCs w:val="22"/>
        </w:rPr>
        <w:lastRenderedPageBreak/>
        <w:t xml:space="preserve">with the Trade Union representatives. However, although the interviewing and selection process should always include the 4 criteria specified above, for most job categories, it may be necessary to widen the interviewing process to include competency-based questions which should be developed from the job description and person specification of the job that is the subject of the redundancy exercise. Competency-based questions are used to identify the key competencies, actions and behaviours required for the job going forward and are particularly relevant for specialised roles and/or supervisory/management positions. Guidance notes will be available to guide the Manager and the HR Practitioner, noting carefully that clear and specific agreement should be reached with the affected employees and their Trade Union representatives as part of the initial consultation meeting(s) at the onset of the redundancy exercise. </w:t>
      </w:r>
    </w:p>
    <w:p w14:paraId="07F6A3E6"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E7" w14:textId="77777777" w:rsidR="00BE757B" w:rsidRPr="00F14E90" w:rsidRDefault="00BE757B" w:rsidP="00F14E90">
      <w:pPr>
        <w:tabs>
          <w:tab w:val="left" w:pos="284"/>
          <w:tab w:val="center" w:pos="528"/>
          <w:tab w:val="center" w:pos="2134"/>
        </w:tabs>
        <w:ind w:left="284" w:hanging="568"/>
        <w:rPr>
          <w:rFonts w:ascii="Arial" w:hAnsi="Arial" w:cs="Arial"/>
          <w:sz w:val="22"/>
          <w:szCs w:val="22"/>
        </w:rPr>
      </w:pPr>
      <w:r w:rsidRPr="00F14E90">
        <w:rPr>
          <w:rFonts w:ascii="Arial" w:hAnsi="Arial" w:cs="Arial"/>
          <w:sz w:val="22"/>
          <w:szCs w:val="22"/>
        </w:rPr>
        <w:t xml:space="preserve">6.5 </w:t>
      </w:r>
      <w:r w:rsidRPr="00F14E90">
        <w:rPr>
          <w:rFonts w:ascii="Arial" w:hAnsi="Arial" w:cs="Arial"/>
          <w:sz w:val="22"/>
          <w:szCs w:val="22"/>
        </w:rPr>
        <w:tab/>
      </w:r>
      <w:r w:rsidRPr="00F14E90">
        <w:rPr>
          <w:rFonts w:ascii="Arial" w:hAnsi="Arial" w:cs="Arial"/>
          <w:sz w:val="22"/>
          <w:szCs w:val="22"/>
          <w:u w:val="single" w:color="000000"/>
        </w:rPr>
        <w:t>Work Performance</w:t>
      </w:r>
      <w:r w:rsidRPr="00F14E90">
        <w:rPr>
          <w:rFonts w:ascii="Arial" w:hAnsi="Arial" w:cs="Arial"/>
          <w:sz w:val="22"/>
          <w:szCs w:val="22"/>
        </w:rPr>
        <w:t xml:space="preserve"> </w:t>
      </w:r>
    </w:p>
    <w:p w14:paraId="07F6A3E8"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E9" w14:textId="77777777" w:rsidR="00BE757B" w:rsidRPr="00F14E90" w:rsidRDefault="00F14E90" w:rsidP="00F14E90">
      <w:pPr>
        <w:tabs>
          <w:tab w:val="left" w:pos="284"/>
        </w:tabs>
        <w:ind w:left="284" w:right="368" w:hanging="568"/>
        <w:rPr>
          <w:rFonts w:ascii="Arial" w:hAnsi="Arial" w:cs="Arial"/>
          <w:sz w:val="22"/>
          <w:szCs w:val="22"/>
        </w:rPr>
      </w:pPr>
      <w:r>
        <w:rPr>
          <w:rFonts w:ascii="Arial" w:hAnsi="Arial" w:cs="Arial"/>
          <w:sz w:val="22"/>
          <w:szCs w:val="22"/>
        </w:rPr>
        <w:tab/>
      </w:r>
      <w:r w:rsidR="00BE757B" w:rsidRPr="00F14E90">
        <w:rPr>
          <w:rFonts w:ascii="Arial" w:hAnsi="Arial" w:cs="Arial"/>
          <w:sz w:val="22"/>
          <w:szCs w:val="22"/>
        </w:rPr>
        <w:t xml:space="preserve">The department must be able to show that there is objective evidence to support a selection based on this by criteria, as demonstrated by following the procedures for managing performance-related matters. </w:t>
      </w:r>
    </w:p>
    <w:p w14:paraId="07F6A3EA"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EB" w14:textId="77777777" w:rsidR="00BE757B" w:rsidRDefault="00F14E90" w:rsidP="00F14E90">
      <w:pPr>
        <w:tabs>
          <w:tab w:val="left" w:pos="284"/>
        </w:tabs>
        <w:ind w:left="284" w:right="368" w:hanging="568"/>
        <w:rPr>
          <w:rFonts w:ascii="Arial" w:hAnsi="Arial" w:cs="Arial"/>
          <w:sz w:val="22"/>
          <w:szCs w:val="22"/>
        </w:rPr>
      </w:pPr>
      <w:r>
        <w:rPr>
          <w:rFonts w:ascii="Arial" w:hAnsi="Arial" w:cs="Arial"/>
          <w:sz w:val="22"/>
          <w:szCs w:val="22"/>
        </w:rPr>
        <w:tab/>
      </w:r>
      <w:r w:rsidR="00BE757B" w:rsidRPr="00F14E90">
        <w:rPr>
          <w:rFonts w:ascii="Arial" w:hAnsi="Arial" w:cs="Arial"/>
          <w:sz w:val="22"/>
          <w:szCs w:val="22"/>
        </w:rPr>
        <w:t xml:space="preserve">This may include outcomes (e.g. written warnings) from formal performance capability hearings, where they are still valid; informal performance action plans; and employee review and development feedback documentation. </w:t>
      </w:r>
    </w:p>
    <w:p w14:paraId="07F6A3EC" w14:textId="77777777" w:rsidR="00F14E90" w:rsidRPr="00F14E90" w:rsidRDefault="00F14E90" w:rsidP="00F14E90">
      <w:pPr>
        <w:tabs>
          <w:tab w:val="left" w:pos="284"/>
        </w:tabs>
        <w:ind w:left="284" w:right="368" w:hanging="568"/>
        <w:rPr>
          <w:rFonts w:ascii="Arial" w:hAnsi="Arial" w:cs="Arial"/>
          <w:sz w:val="22"/>
          <w:szCs w:val="22"/>
        </w:rPr>
      </w:pPr>
    </w:p>
    <w:p w14:paraId="07F6A3ED" w14:textId="77777777" w:rsidR="00BE757B" w:rsidRPr="00F14E90" w:rsidRDefault="00BE757B" w:rsidP="00F14E90">
      <w:pPr>
        <w:tabs>
          <w:tab w:val="left" w:pos="284"/>
          <w:tab w:val="center" w:pos="528"/>
          <w:tab w:val="center" w:pos="2081"/>
        </w:tabs>
        <w:ind w:left="284" w:hanging="568"/>
        <w:rPr>
          <w:rFonts w:ascii="Arial" w:hAnsi="Arial" w:cs="Arial"/>
          <w:sz w:val="22"/>
          <w:szCs w:val="22"/>
        </w:rPr>
      </w:pPr>
      <w:r w:rsidRPr="00F14E90">
        <w:rPr>
          <w:rFonts w:ascii="Arial" w:hAnsi="Arial" w:cs="Arial"/>
          <w:sz w:val="22"/>
          <w:szCs w:val="22"/>
        </w:rPr>
        <w:t xml:space="preserve">6.6   </w:t>
      </w:r>
      <w:r w:rsidRPr="00F14E90">
        <w:rPr>
          <w:rFonts w:ascii="Arial" w:hAnsi="Arial" w:cs="Arial"/>
          <w:sz w:val="22"/>
          <w:szCs w:val="22"/>
        </w:rPr>
        <w:tab/>
      </w:r>
      <w:r w:rsidRPr="00F14E90">
        <w:rPr>
          <w:rFonts w:ascii="Arial" w:hAnsi="Arial" w:cs="Arial"/>
          <w:sz w:val="22"/>
          <w:szCs w:val="22"/>
          <w:u w:val="single" w:color="000000"/>
        </w:rPr>
        <w:t>Skills/ competence</w:t>
      </w:r>
      <w:r w:rsidRPr="00F14E90">
        <w:rPr>
          <w:rFonts w:ascii="Arial" w:hAnsi="Arial" w:cs="Arial"/>
          <w:sz w:val="22"/>
          <w:szCs w:val="22"/>
        </w:rPr>
        <w:t xml:space="preserve"> </w:t>
      </w:r>
    </w:p>
    <w:p w14:paraId="07F6A3EE"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EF" w14:textId="77777777" w:rsidR="00BE757B" w:rsidRPr="00F14E90" w:rsidRDefault="00F14E90" w:rsidP="00F14E90">
      <w:pPr>
        <w:tabs>
          <w:tab w:val="left" w:pos="284"/>
        </w:tabs>
        <w:ind w:left="284" w:right="368" w:hanging="568"/>
        <w:rPr>
          <w:rFonts w:ascii="Arial" w:hAnsi="Arial" w:cs="Arial"/>
          <w:sz w:val="22"/>
          <w:szCs w:val="22"/>
        </w:rPr>
      </w:pPr>
      <w:r>
        <w:rPr>
          <w:rFonts w:ascii="Arial" w:hAnsi="Arial" w:cs="Arial"/>
          <w:sz w:val="22"/>
          <w:szCs w:val="22"/>
        </w:rPr>
        <w:tab/>
      </w:r>
      <w:r w:rsidR="00BE757B" w:rsidRPr="00F14E90">
        <w:rPr>
          <w:rFonts w:ascii="Arial" w:hAnsi="Arial" w:cs="Arial"/>
          <w:sz w:val="22"/>
          <w:szCs w:val="22"/>
        </w:rPr>
        <w:t xml:space="preserve">This focuses the Council on the retention of a balanced workforce which means that objective selection criteria related to departmental needs are required. Employees should be able to see what criteria are being used and how they are to be applied. Formal qualifications and advanced skills can also be considered, where they are of direct relevance to future service provision and/or skill-mix requirements. </w:t>
      </w:r>
    </w:p>
    <w:p w14:paraId="07F6A3F0"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F1" w14:textId="77777777" w:rsidR="00BE757B" w:rsidRPr="00F14E90" w:rsidRDefault="00F14E90" w:rsidP="00F14E90">
      <w:pPr>
        <w:tabs>
          <w:tab w:val="left" w:pos="284"/>
        </w:tabs>
        <w:ind w:left="284" w:right="368" w:hanging="568"/>
        <w:rPr>
          <w:rFonts w:ascii="Arial" w:hAnsi="Arial" w:cs="Arial"/>
          <w:sz w:val="22"/>
          <w:szCs w:val="22"/>
        </w:rPr>
      </w:pPr>
      <w:r>
        <w:rPr>
          <w:rFonts w:ascii="Arial" w:hAnsi="Arial" w:cs="Arial"/>
          <w:sz w:val="22"/>
          <w:szCs w:val="22"/>
        </w:rPr>
        <w:tab/>
      </w:r>
      <w:r w:rsidR="00BE757B" w:rsidRPr="00F14E90">
        <w:rPr>
          <w:rFonts w:ascii="Arial" w:hAnsi="Arial" w:cs="Arial"/>
          <w:sz w:val="22"/>
          <w:szCs w:val="22"/>
        </w:rPr>
        <w:t xml:space="preserve">Distinction should be made in this area between those qualifications that are essential for the role and those that are desirable. This will be based on the proposed job description for the role, with due regard to the competency-based provisions referred to in section 6.4. </w:t>
      </w:r>
    </w:p>
    <w:p w14:paraId="07F6A3F2"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F3" w14:textId="77777777" w:rsidR="00BE757B" w:rsidRPr="00F14E90" w:rsidRDefault="00BE757B" w:rsidP="00F14E90">
      <w:pPr>
        <w:tabs>
          <w:tab w:val="left" w:pos="284"/>
          <w:tab w:val="center" w:pos="528"/>
          <w:tab w:val="center" w:pos="2126"/>
        </w:tabs>
        <w:ind w:left="284" w:hanging="568"/>
        <w:rPr>
          <w:rFonts w:ascii="Arial" w:hAnsi="Arial" w:cs="Arial"/>
          <w:sz w:val="22"/>
          <w:szCs w:val="22"/>
        </w:rPr>
      </w:pPr>
      <w:r w:rsidRPr="00F14E90">
        <w:rPr>
          <w:rFonts w:ascii="Arial" w:hAnsi="Arial" w:cs="Arial"/>
          <w:sz w:val="22"/>
          <w:szCs w:val="22"/>
        </w:rPr>
        <w:t xml:space="preserve">6.7   </w:t>
      </w:r>
      <w:r w:rsidRPr="00F14E90">
        <w:rPr>
          <w:rFonts w:ascii="Arial" w:hAnsi="Arial" w:cs="Arial"/>
          <w:sz w:val="22"/>
          <w:szCs w:val="22"/>
        </w:rPr>
        <w:tab/>
      </w:r>
      <w:r w:rsidRPr="00F14E90">
        <w:rPr>
          <w:rFonts w:ascii="Arial" w:hAnsi="Arial" w:cs="Arial"/>
          <w:sz w:val="22"/>
          <w:szCs w:val="22"/>
          <w:u w:val="single" w:color="000000"/>
        </w:rPr>
        <w:t>Disciplinary records</w:t>
      </w:r>
      <w:r w:rsidRPr="00F14E90">
        <w:rPr>
          <w:rFonts w:ascii="Arial" w:hAnsi="Arial" w:cs="Arial"/>
          <w:sz w:val="22"/>
          <w:szCs w:val="22"/>
        </w:rPr>
        <w:t xml:space="preserve"> </w:t>
      </w:r>
    </w:p>
    <w:p w14:paraId="07F6A3F4"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F5" w14:textId="77777777" w:rsidR="00BE757B" w:rsidRPr="00F14E90" w:rsidRDefault="00F14E90" w:rsidP="00F14E90">
      <w:pPr>
        <w:tabs>
          <w:tab w:val="left" w:pos="284"/>
        </w:tabs>
        <w:ind w:left="284" w:right="368" w:hanging="568"/>
        <w:rPr>
          <w:rFonts w:ascii="Arial" w:hAnsi="Arial" w:cs="Arial"/>
          <w:sz w:val="22"/>
          <w:szCs w:val="22"/>
        </w:rPr>
      </w:pPr>
      <w:r>
        <w:rPr>
          <w:rFonts w:ascii="Arial" w:hAnsi="Arial" w:cs="Arial"/>
          <w:sz w:val="22"/>
          <w:szCs w:val="22"/>
        </w:rPr>
        <w:tab/>
      </w:r>
      <w:r w:rsidR="00BE757B" w:rsidRPr="00F14E90">
        <w:rPr>
          <w:rFonts w:ascii="Arial" w:hAnsi="Arial" w:cs="Arial"/>
          <w:sz w:val="22"/>
          <w:szCs w:val="22"/>
        </w:rPr>
        <w:t xml:space="preserve">Only currently valid disciplinary sanctions should be </w:t>
      </w:r>
      <w:proofErr w:type="gramStart"/>
      <w:r w:rsidR="00BE757B" w:rsidRPr="00F14E90">
        <w:rPr>
          <w:rFonts w:ascii="Arial" w:hAnsi="Arial" w:cs="Arial"/>
          <w:sz w:val="22"/>
          <w:szCs w:val="22"/>
        </w:rPr>
        <w:t>taken into account</w:t>
      </w:r>
      <w:proofErr w:type="gramEnd"/>
      <w:r w:rsidR="00BE757B" w:rsidRPr="00F14E90">
        <w:rPr>
          <w:rFonts w:ascii="Arial" w:hAnsi="Arial" w:cs="Arial"/>
          <w:sz w:val="22"/>
          <w:szCs w:val="22"/>
        </w:rPr>
        <w:t xml:space="preserve">. Expired disciplinary warnings should not be considered. It is appropriate to consider informal supervisory support plans but only where they were written 6 months or less prior to consultation. The department must be able to show that there is objective evidence to support a selection based on this criterion, as demonstrated by having due regard for the procedures for managing disciplinary matters. </w:t>
      </w:r>
    </w:p>
    <w:p w14:paraId="07F6A3F6"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F7"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6.8      </w:t>
      </w:r>
      <w:r w:rsidRPr="00F14E90">
        <w:rPr>
          <w:rFonts w:ascii="Arial" w:hAnsi="Arial" w:cs="Arial"/>
          <w:sz w:val="22"/>
          <w:szCs w:val="22"/>
          <w:u w:val="single" w:color="000000"/>
        </w:rPr>
        <w:t>Attendance record</w:t>
      </w:r>
      <w:r w:rsidRPr="00F14E90">
        <w:rPr>
          <w:rFonts w:ascii="Arial" w:hAnsi="Arial" w:cs="Arial"/>
          <w:sz w:val="22"/>
          <w:szCs w:val="22"/>
        </w:rPr>
        <w:t xml:space="preserve"> </w:t>
      </w:r>
    </w:p>
    <w:p w14:paraId="07F6A3F8"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F9" w14:textId="77777777" w:rsidR="00BE757B" w:rsidRPr="00F14E90" w:rsidRDefault="00F14E90" w:rsidP="00F14E90">
      <w:pPr>
        <w:tabs>
          <w:tab w:val="left" w:pos="284"/>
        </w:tabs>
        <w:ind w:left="284" w:right="368" w:hanging="568"/>
        <w:rPr>
          <w:rFonts w:ascii="Arial" w:hAnsi="Arial" w:cs="Arial"/>
          <w:sz w:val="22"/>
          <w:szCs w:val="22"/>
        </w:rPr>
      </w:pPr>
      <w:r>
        <w:rPr>
          <w:rFonts w:ascii="Arial" w:hAnsi="Arial" w:cs="Arial"/>
          <w:sz w:val="22"/>
          <w:szCs w:val="22"/>
        </w:rPr>
        <w:tab/>
      </w:r>
      <w:r w:rsidR="00BE757B" w:rsidRPr="00F14E90">
        <w:rPr>
          <w:rFonts w:ascii="Arial" w:hAnsi="Arial" w:cs="Arial"/>
          <w:sz w:val="22"/>
          <w:szCs w:val="22"/>
        </w:rPr>
        <w:t xml:space="preserve">It is imperative that appropriate records have been maintained in order to use this criterion. On no account shall the Council take into consideration absence due pregnancy or childbirth when calculating absence. Similarly, account should not be taken of any absences which are as a result of an employee’s recognised disability or pregnancy. </w:t>
      </w:r>
    </w:p>
    <w:p w14:paraId="07F6A3FA" w14:textId="77777777" w:rsidR="00BE757B" w:rsidRPr="00F14E90" w:rsidRDefault="00F14E90" w:rsidP="00F14E90">
      <w:pPr>
        <w:tabs>
          <w:tab w:val="left" w:pos="284"/>
        </w:tabs>
        <w:ind w:left="284" w:hanging="568"/>
        <w:rPr>
          <w:rFonts w:ascii="Arial" w:hAnsi="Arial" w:cs="Arial"/>
          <w:sz w:val="22"/>
          <w:szCs w:val="22"/>
        </w:rPr>
      </w:pPr>
      <w:r>
        <w:rPr>
          <w:rFonts w:ascii="Arial" w:hAnsi="Arial" w:cs="Arial"/>
          <w:sz w:val="22"/>
          <w:szCs w:val="22"/>
        </w:rPr>
        <w:tab/>
      </w:r>
      <w:r w:rsidR="00BE757B" w:rsidRPr="00F14E90">
        <w:rPr>
          <w:rFonts w:ascii="Arial" w:hAnsi="Arial" w:cs="Arial"/>
          <w:sz w:val="22"/>
          <w:szCs w:val="22"/>
        </w:rPr>
        <w:t xml:space="preserve"> </w:t>
      </w:r>
    </w:p>
    <w:p w14:paraId="07F6A3FB" w14:textId="77777777" w:rsidR="00BE757B" w:rsidRPr="00F14E90" w:rsidRDefault="00F14E90" w:rsidP="00F14E90">
      <w:pPr>
        <w:tabs>
          <w:tab w:val="left" w:pos="284"/>
        </w:tabs>
        <w:ind w:left="284" w:right="368" w:hanging="568"/>
        <w:rPr>
          <w:rFonts w:ascii="Arial" w:hAnsi="Arial" w:cs="Arial"/>
          <w:sz w:val="22"/>
          <w:szCs w:val="22"/>
        </w:rPr>
      </w:pPr>
      <w:r>
        <w:rPr>
          <w:rFonts w:ascii="Arial" w:hAnsi="Arial" w:cs="Arial"/>
          <w:sz w:val="22"/>
          <w:szCs w:val="22"/>
        </w:rPr>
        <w:tab/>
      </w:r>
      <w:r w:rsidR="00BE757B" w:rsidRPr="00F14E90">
        <w:rPr>
          <w:rFonts w:ascii="Arial" w:hAnsi="Arial" w:cs="Arial"/>
          <w:sz w:val="22"/>
          <w:szCs w:val="22"/>
        </w:rPr>
        <w:t xml:space="preserve">The department must be able to show that there is objective evidence to support a selection based on this by criteria, as demonstrated by having due regard for the procedures for managing ill-health and attendance matters. </w:t>
      </w:r>
    </w:p>
    <w:p w14:paraId="07F6A3FC"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3FD"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6.9    </w:t>
      </w:r>
      <w:r w:rsidRPr="00F14E90">
        <w:rPr>
          <w:rFonts w:ascii="Arial" w:hAnsi="Arial" w:cs="Arial"/>
          <w:sz w:val="22"/>
          <w:szCs w:val="22"/>
          <w:u w:val="single" w:color="000000"/>
        </w:rPr>
        <w:t>Applying the criteria fairly</w:t>
      </w:r>
      <w:r w:rsidRPr="00F14E90">
        <w:rPr>
          <w:rFonts w:ascii="Arial" w:hAnsi="Arial" w:cs="Arial"/>
          <w:sz w:val="22"/>
          <w:szCs w:val="22"/>
        </w:rPr>
        <w:t xml:space="preserve"> </w:t>
      </w:r>
    </w:p>
    <w:p w14:paraId="07F6A3FE"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r w:rsidRPr="00F14E90">
        <w:rPr>
          <w:rFonts w:ascii="Arial" w:hAnsi="Arial" w:cs="Arial"/>
          <w:sz w:val="22"/>
          <w:szCs w:val="22"/>
        </w:rPr>
        <w:tab/>
        <w:t xml:space="preserve"> </w:t>
      </w:r>
    </w:p>
    <w:p w14:paraId="07F6A3FF"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 </w:t>
      </w:r>
      <w:r w:rsidR="00F14E90">
        <w:rPr>
          <w:rFonts w:ascii="Arial" w:hAnsi="Arial" w:cs="Arial"/>
          <w:sz w:val="22"/>
          <w:szCs w:val="22"/>
        </w:rPr>
        <w:tab/>
      </w:r>
      <w:r w:rsidRPr="00F14E90">
        <w:rPr>
          <w:rFonts w:ascii="Arial" w:hAnsi="Arial" w:cs="Arial"/>
          <w:sz w:val="22"/>
          <w:szCs w:val="22"/>
        </w:rPr>
        <w:t xml:space="preserve">The Equalities Act 2010 applies in all cases of organisational change and redundancy situations. As such, any factors that would prevent one group of people unjustifiably meeting </w:t>
      </w:r>
      <w:r w:rsidRPr="00F14E90">
        <w:rPr>
          <w:rFonts w:ascii="Arial" w:hAnsi="Arial" w:cs="Arial"/>
          <w:sz w:val="22"/>
          <w:szCs w:val="22"/>
        </w:rPr>
        <w:lastRenderedPageBreak/>
        <w:t xml:space="preserve">redundancy selection criteria more easily than others should be avoided. In addition, any employee who is engaged in asserting a statutory right, for example, requesting flexible working, whistle-blowing or acting as a Trade Union representative, should not be selected for redundancy on the basis of asserting that right. To avoid doubt, advice should be sought from Human Resources.  </w:t>
      </w:r>
    </w:p>
    <w:p w14:paraId="07F6A400"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01" w14:textId="77777777" w:rsidR="00BE757B" w:rsidRPr="00F14E90" w:rsidRDefault="00F14E90" w:rsidP="00F14E90">
      <w:pPr>
        <w:tabs>
          <w:tab w:val="left" w:pos="284"/>
        </w:tabs>
        <w:ind w:left="284" w:right="368" w:hanging="568"/>
        <w:rPr>
          <w:rFonts w:ascii="Arial" w:hAnsi="Arial" w:cs="Arial"/>
          <w:sz w:val="22"/>
          <w:szCs w:val="22"/>
        </w:rPr>
      </w:pPr>
      <w:r>
        <w:rPr>
          <w:rFonts w:ascii="Arial" w:hAnsi="Arial" w:cs="Arial"/>
          <w:sz w:val="22"/>
          <w:szCs w:val="22"/>
        </w:rPr>
        <w:tab/>
      </w:r>
      <w:r w:rsidR="00BE757B" w:rsidRPr="00F14E90">
        <w:rPr>
          <w:rFonts w:ascii="Arial" w:hAnsi="Arial" w:cs="Arial"/>
          <w:sz w:val="22"/>
          <w:szCs w:val="22"/>
        </w:rPr>
        <w:t xml:space="preserve">Further details of strategic integrated/ equality impact assessments and the respective guidance and forms can be found at intranet page 1645. Employees selected for redundancy have a right of access to the records that established their selection for redundancy following the interview process as described above. </w:t>
      </w:r>
    </w:p>
    <w:p w14:paraId="07F6A402"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03"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04" w14:textId="77777777" w:rsidR="00BE757B" w:rsidRPr="00F14E90" w:rsidRDefault="00BE757B" w:rsidP="00F14E90">
      <w:pPr>
        <w:pStyle w:val="Heading1"/>
        <w:tabs>
          <w:tab w:val="left" w:pos="284"/>
        </w:tabs>
        <w:spacing w:after="0" w:line="240" w:lineRule="auto"/>
        <w:ind w:left="284" w:hanging="568"/>
        <w:rPr>
          <w:u w:val="single"/>
        </w:rPr>
      </w:pPr>
      <w:r w:rsidRPr="00F14E90">
        <w:rPr>
          <w:u w:val="single"/>
        </w:rPr>
        <w:t xml:space="preserve">Avoiding compulsory redundancy </w:t>
      </w:r>
    </w:p>
    <w:p w14:paraId="07F6A405" w14:textId="77777777" w:rsidR="00BE757B" w:rsidRPr="00F14E90" w:rsidRDefault="00BE757B" w:rsidP="00F14E90">
      <w:pPr>
        <w:tabs>
          <w:tab w:val="left" w:pos="284"/>
        </w:tabs>
        <w:ind w:left="284" w:hanging="568"/>
        <w:rPr>
          <w:rFonts w:ascii="Arial" w:hAnsi="Arial" w:cs="Arial"/>
          <w:sz w:val="22"/>
          <w:szCs w:val="22"/>
        </w:rPr>
      </w:pPr>
      <w:r w:rsidRPr="00F14E90">
        <w:rPr>
          <w:rFonts w:ascii="Arial" w:eastAsia="Arial" w:hAnsi="Arial" w:cs="Arial"/>
          <w:b/>
          <w:sz w:val="22"/>
          <w:szCs w:val="22"/>
        </w:rPr>
        <w:t xml:space="preserve"> </w:t>
      </w:r>
    </w:p>
    <w:p w14:paraId="07F6A406"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7.1 </w:t>
      </w:r>
      <w:r w:rsidR="00F14E90">
        <w:rPr>
          <w:rFonts w:ascii="Arial" w:hAnsi="Arial" w:cs="Arial"/>
          <w:sz w:val="22"/>
          <w:szCs w:val="22"/>
        </w:rPr>
        <w:tab/>
      </w:r>
      <w:r w:rsidRPr="00F14E90">
        <w:rPr>
          <w:rFonts w:ascii="Arial" w:hAnsi="Arial" w:cs="Arial"/>
          <w:sz w:val="22"/>
          <w:szCs w:val="22"/>
        </w:rPr>
        <w:t xml:space="preserve">The Council is required to consider and respond to all proposals to avoid compulsory redundancy in a reasonable and proportionate way. </w:t>
      </w:r>
    </w:p>
    <w:p w14:paraId="07F6A407"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08" w14:textId="77777777" w:rsidR="00BE757B" w:rsidRPr="00F14E90" w:rsidRDefault="00F14E90" w:rsidP="00F14E90">
      <w:pPr>
        <w:tabs>
          <w:tab w:val="left" w:pos="284"/>
        </w:tabs>
        <w:ind w:left="284" w:right="368" w:hanging="568"/>
        <w:rPr>
          <w:rFonts w:ascii="Arial" w:hAnsi="Arial" w:cs="Arial"/>
          <w:sz w:val="22"/>
          <w:szCs w:val="22"/>
        </w:rPr>
      </w:pPr>
      <w:r>
        <w:rPr>
          <w:rFonts w:ascii="Arial" w:hAnsi="Arial" w:cs="Arial"/>
          <w:sz w:val="22"/>
          <w:szCs w:val="22"/>
        </w:rPr>
        <w:t xml:space="preserve">7.2     </w:t>
      </w:r>
      <w:r w:rsidR="00BE757B" w:rsidRPr="00F14E90">
        <w:rPr>
          <w:rFonts w:ascii="Arial" w:hAnsi="Arial" w:cs="Arial"/>
          <w:sz w:val="22"/>
          <w:szCs w:val="22"/>
        </w:rPr>
        <w:t xml:space="preserve">Methods the Council will utilise to avoid compulsory redundancy include those outlined below. </w:t>
      </w:r>
    </w:p>
    <w:p w14:paraId="07F6A409"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0A" w14:textId="77777777" w:rsidR="00BE757B" w:rsidRPr="00F14E90" w:rsidRDefault="00BE757B" w:rsidP="00F14E90">
      <w:pPr>
        <w:tabs>
          <w:tab w:val="left" w:pos="284"/>
          <w:tab w:val="center" w:pos="528"/>
          <w:tab w:val="center" w:pos="4300"/>
        </w:tabs>
        <w:ind w:left="284" w:hanging="568"/>
        <w:rPr>
          <w:rFonts w:ascii="Arial" w:hAnsi="Arial" w:cs="Arial"/>
          <w:sz w:val="22"/>
          <w:szCs w:val="22"/>
        </w:rPr>
      </w:pPr>
      <w:r w:rsidRPr="00F14E90">
        <w:rPr>
          <w:rFonts w:ascii="Arial" w:hAnsi="Arial" w:cs="Arial"/>
          <w:sz w:val="22"/>
          <w:szCs w:val="22"/>
        </w:rPr>
        <w:t xml:space="preserve">7.3   </w:t>
      </w:r>
      <w:r w:rsidRPr="00F14E90">
        <w:rPr>
          <w:rFonts w:ascii="Arial" w:hAnsi="Arial" w:cs="Arial"/>
          <w:sz w:val="22"/>
          <w:szCs w:val="22"/>
        </w:rPr>
        <w:tab/>
      </w:r>
      <w:r w:rsidRPr="00F14E90">
        <w:rPr>
          <w:rFonts w:ascii="Arial" w:hAnsi="Arial" w:cs="Arial"/>
          <w:sz w:val="22"/>
          <w:szCs w:val="22"/>
          <w:u w:val="single" w:color="000000"/>
        </w:rPr>
        <w:t>Seeking Volunteers for Redundancy and/or Early Retirement</w:t>
      </w:r>
      <w:r w:rsidRPr="00F14E90">
        <w:rPr>
          <w:rFonts w:ascii="Arial" w:hAnsi="Arial" w:cs="Arial"/>
          <w:sz w:val="22"/>
          <w:szCs w:val="22"/>
        </w:rPr>
        <w:t xml:space="preserve">  </w:t>
      </w:r>
    </w:p>
    <w:p w14:paraId="07F6A40B" w14:textId="77777777" w:rsidR="00BE757B" w:rsidRPr="00F14E90" w:rsidRDefault="00F14E90" w:rsidP="00F14E90">
      <w:pPr>
        <w:tabs>
          <w:tab w:val="left" w:pos="284"/>
        </w:tabs>
        <w:ind w:left="284" w:right="368" w:hanging="568"/>
        <w:rPr>
          <w:rFonts w:ascii="Arial" w:hAnsi="Arial" w:cs="Arial"/>
          <w:sz w:val="22"/>
          <w:szCs w:val="22"/>
        </w:rPr>
      </w:pPr>
      <w:r>
        <w:rPr>
          <w:rFonts w:ascii="Arial" w:hAnsi="Arial" w:cs="Arial"/>
          <w:sz w:val="22"/>
          <w:szCs w:val="22"/>
        </w:rPr>
        <w:tab/>
      </w:r>
      <w:r w:rsidR="00BE757B" w:rsidRPr="00F14E90">
        <w:rPr>
          <w:rFonts w:ascii="Arial" w:hAnsi="Arial" w:cs="Arial"/>
          <w:sz w:val="22"/>
          <w:szCs w:val="22"/>
        </w:rPr>
        <w:t xml:space="preserve">Whilst applications for voluntary redundancy may be considered, such applications will be subject to, and based upon the requirements of the service. In the first instance, volunteers for redundancy will be requested and details of redundancy payments (and where appropriate, pension benefits) will be made available. </w:t>
      </w:r>
    </w:p>
    <w:p w14:paraId="07F6A40C"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0D"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7.4   If asking for volunteers attracts more interest than required, or employees from essential service areas express an interest in voluntary redundancy, or employees with specific skills that the Council would need to retain express an interest in voluntary redundancy, then the Council has the right not to accept an employee’s request. A proper business case that objectively weighs the positive and negative </w:t>
      </w:r>
      <w:r w:rsidR="00F14E90">
        <w:rPr>
          <w:rFonts w:ascii="Arial" w:hAnsi="Arial" w:cs="Arial"/>
          <w:sz w:val="22"/>
          <w:szCs w:val="22"/>
        </w:rPr>
        <w:t>a</w:t>
      </w:r>
      <w:r w:rsidRPr="00F14E90">
        <w:rPr>
          <w:rFonts w:ascii="Arial" w:hAnsi="Arial" w:cs="Arial"/>
          <w:sz w:val="22"/>
          <w:szCs w:val="22"/>
        </w:rPr>
        <w:t>spects of approving or declining the application (such as a cost</w:t>
      </w:r>
      <w:r w:rsidR="00F14E90">
        <w:rPr>
          <w:rFonts w:ascii="Arial" w:hAnsi="Arial" w:cs="Arial"/>
          <w:sz w:val="22"/>
          <w:szCs w:val="22"/>
        </w:rPr>
        <w:t xml:space="preserve"> </w:t>
      </w:r>
      <w:r w:rsidRPr="00F14E90">
        <w:rPr>
          <w:rFonts w:ascii="Arial" w:hAnsi="Arial" w:cs="Arial"/>
          <w:sz w:val="22"/>
          <w:szCs w:val="22"/>
        </w:rPr>
        <w:t xml:space="preserve">benefit analysis) should be undertaken by the appropriate manager. </w:t>
      </w:r>
    </w:p>
    <w:p w14:paraId="07F6A40E"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0F" w14:textId="77777777" w:rsidR="00BE757B" w:rsidRPr="00F14E90" w:rsidRDefault="00F14E90" w:rsidP="00F14E90">
      <w:pPr>
        <w:tabs>
          <w:tab w:val="left" w:pos="284"/>
        </w:tabs>
        <w:ind w:left="284" w:right="368" w:hanging="568"/>
        <w:rPr>
          <w:rFonts w:ascii="Arial" w:hAnsi="Arial" w:cs="Arial"/>
          <w:sz w:val="22"/>
          <w:szCs w:val="22"/>
        </w:rPr>
      </w:pPr>
      <w:r>
        <w:rPr>
          <w:rFonts w:ascii="Arial" w:hAnsi="Arial" w:cs="Arial"/>
          <w:sz w:val="22"/>
          <w:szCs w:val="22"/>
        </w:rPr>
        <w:t>7.5</w:t>
      </w:r>
      <w:r>
        <w:rPr>
          <w:rFonts w:ascii="Arial" w:hAnsi="Arial" w:cs="Arial"/>
          <w:sz w:val="22"/>
          <w:szCs w:val="22"/>
        </w:rPr>
        <w:tab/>
      </w:r>
      <w:r w:rsidR="00BE757B" w:rsidRPr="00F14E90">
        <w:rPr>
          <w:rFonts w:ascii="Arial" w:hAnsi="Arial" w:cs="Arial"/>
          <w:sz w:val="22"/>
          <w:szCs w:val="22"/>
        </w:rPr>
        <w:t>Employees wishing to be considered for phased or graduated retirement should, in the first instance, discuss their request with their line manager; further information and guidance can also be sought from their HR Practitioner and the Pensions Department. The earliest age that pension benefits can be voluntary accessed, is Age 55. Pension scheme members under Age 55, would be awarded deferred pension benefits within the scheme. Similarly, employees wishing to reduce their hours (i.e. part-time working) should discuss their proposal with their line manager, with further information obtainable from their respective HR practitioner or trade union representative. More information on making such requests can be found in the Flexible Working Policy. Furthermore, the Council, as part of any restructuring proposals, may invite applications from employees to be considered for voluntary redundancy. However, the Council does not offer an enhanced payment for voluntary redundancy as it has had discretion to do so in the past. This will generally be undertaken on a Service</w:t>
      </w:r>
      <w:r>
        <w:rPr>
          <w:rFonts w:ascii="Arial" w:hAnsi="Arial" w:cs="Arial"/>
          <w:sz w:val="22"/>
          <w:szCs w:val="22"/>
        </w:rPr>
        <w:t>-</w:t>
      </w:r>
      <w:r w:rsidR="00BE757B" w:rsidRPr="00F14E90">
        <w:rPr>
          <w:rFonts w:ascii="Arial" w:hAnsi="Arial" w:cs="Arial"/>
          <w:sz w:val="22"/>
          <w:szCs w:val="22"/>
        </w:rPr>
        <w:t xml:space="preserve">by-Service approach and employees are strongly urged to make themselves familiar with any supplementary guidance that may be in force at the time of making their application. </w:t>
      </w:r>
    </w:p>
    <w:p w14:paraId="07F6A410"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11" w14:textId="77777777" w:rsidR="00BE757B" w:rsidRPr="00F14E90" w:rsidRDefault="00F14E90" w:rsidP="00F14E90">
      <w:pPr>
        <w:tabs>
          <w:tab w:val="left" w:pos="284"/>
        </w:tabs>
        <w:ind w:left="284" w:right="368" w:hanging="568"/>
        <w:rPr>
          <w:rFonts w:ascii="Arial" w:hAnsi="Arial" w:cs="Arial"/>
          <w:sz w:val="22"/>
          <w:szCs w:val="22"/>
        </w:rPr>
      </w:pPr>
      <w:r>
        <w:rPr>
          <w:rFonts w:ascii="Arial" w:hAnsi="Arial" w:cs="Arial"/>
          <w:sz w:val="22"/>
          <w:szCs w:val="22"/>
        </w:rPr>
        <w:t xml:space="preserve">7.6 </w:t>
      </w:r>
      <w:r>
        <w:rPr>
          <w:rFonts w:ascii="Arial" w:hAnsi="Arial" w:cs="Arial"/>
          <w:sz w:val="22"/>
          <w:szCs w:val="22"/>
        </w:rPr>
        <w:tab/>
      </w:r>
      <w:r w:rsidR="00BE757B" w:rsidRPr="00F14E90">
        <w:rPr>
          <w:rFonts w:ascii="Arial" w:hAnsi="Arial" w:cs="Arial"/>
          <w:sz w:val="22"/>
          <w:szCs w:val="22"/>
        </w:rPr>
        <w:t xml:space="preserve">Heads of Service may consider requests for “bumped” redundancies. In these circumstances, employees may volunteer for redundancy to make way for employees with transferable skills whose role may be identified as compulsorily redundant and who do not wish to leave the employment of the Council. </w:t>
      </w:r>
    </w:p>
    <w:p w14:paraId="07F6A412" w14:textId="77777777" w:rsidR="004F1717"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13" w14:textId="77777777" w:rsidR="004F1717" w:rsidRDefault="004F1717">
      <w:pPr>
        <w:suppressAutoHyphens w:val="0"/>
        <w:spacing w:after="160" w:line="259" w:lineRule="auto"/>
        <w:rPr>
          <w:rFonts w:ascii="Arial" w:hAnsi="Arial" w:cs="Arial"/>
          <w:sz w:val="22"/>
          <w:szCs w:val="22"/>
        </w:rPr>
      </w:pPr>
      <w:r>
        <w:rPr>
          <w:rFonts w:ascii="Arial" w:hAnsi="Arial" w:cs="Arial"/>
          <w:sz w:val="22"/>
          <w:szCs w:val="22"/>
        </w:rPr>
        <w:br w:type="page"/>
      </w:r>
    </w:p>
    <w:p w14:paraId="07F6A414" w14:textId="77777777" w:rsidR="00BE757B" w:rsidRPr="00F14E90" w:rsidRDefault="00BE757B" w:rsidP="00F14E90">
      <w:pPr>
        <w:tabs>
          <w:tab w:val="left" w:pos="284"/>
        </w:tabs>
        <w:ind w:left="284" w:hanging="568"/>
        <w:rPr>
          <w:rFonts w:ascii="Arial" w:hAnsi="Arial" w:cs="Arial"/>
          <w:sz w:val="22"/>
          <w:szCs w:val="22"/>
        </w:rPr>
      </w:pPr>
    </w:p>
    <w:p w14:paraId="07F6A415" w14:textId="77777777" w:rsidR="00BE757B" w:rsidRPr="00F14E90" w:rsidRDefault="00BE757B" w:rsidP="00F14E90">
      <w:pPr>
        <w:tabs>
          <w:tab w:val="left" w:pos="284"/>
          <w:tab w:val="center" w:pos="528"/>
          <w:tab w:val="center" w:pos="1855"/>
        </w:tabs>
        <w:ind w:left="284" w:hanging="568"/>
        <w:rPr>
          <w:rFonts w:ascii="Arial" w:hAnsi="Arial" w:cs="Arial"/>
          <w:sz w:val="22"/>
          <w:szCs w:val="22"/>
        </w:rPr>
      </w:pPr>
      <w:r w:rsidRPr="00F14E90">
        <w:rPr>
          <w:rFonts w:ascii="Arial" w:hAnsi="Arial" w:cs="Arial"/>
          <w:sz w:val="22"/>
          <w:szCs w:val="22"/>
        </w:rPr>
        <w:t xml:space="preserve">7.7   </w:t>
      </w:r>
      <w:r w:rsidRPr="00F14E90">
        <w:rPr>
          <w:rFonts w:ascii="Arial" w:hAnsi="Arial" w:cs="Arial"/>
          <w:sz w:val="22"/>
          <w:szCs w:val="22"/>
        </w:rPr>
        <w:tab/>
      </w:r>
      <w:r w:rsidRPr="00F14E90">
        <w:rPr>
          <w:rFonts w:ascii="Arial" w:hAnsi="Arial" w:cs="Arial"/>
          <w:sz w:val="22"/>
          <w:szCs w:val="22"/>
          <w:u w:val="single" w:color="000000"/>
        </w:rPr>
        <w:t>Redeployment</w:t>
      </w:r>
      <w:r w:rsidRPr="00F14E90">
        <w:rPr>
          <w:rFonts w:ascii="Arial" w:hAnsi="Arial" w:cs="Arial"/>
          <w:sz w:val="22"/>
          <w:szCs w:val="22"/>
        </w:rPr>
        <w:t xml:space="preserve"> </w:t>
      </w:r>
    </w:p>
    <w:p w14:paraId="07F6A416" w14:textId="77777777" w:rsidR="00BE757B" w:rsidRPr="00F14E90" w:rsidRDefault="00F14E90" w:rsidP="00F14E90">
      <w:pPr>
        <w:tabs>
          <w:tab w:val="left" w:pos="284"/>
        </w:tabs>
        <w:ind w:left="284" w:right="368" w:hanging="568"/>
        <w:rPr>
          <w:rFonts w:ascii="Arial" w:hAnsi="Arial" w:cs="Arial"/>
          <w:sz w:val="22"/>
          <w:szCs w:val="22"/>
        </w:rPr>
      </w:pPr>
      <w:r>
        <w:rPr>
          <w:rFonts w:ascii="Arial" w:hAnsi="Arial" w:cs="Arial"/>
          <w:sz w:val="22"/>
          <w:szCs w:val="22"/>
        </w:rPr>
        <w:tab/>
      </w:r>
      <w:r w:rsidR="00BE757B" w:rsidRPr="00F14E90">
        <w:rPr>
          <w:rFonts w:ascii="Arial" w:hAnsi="Arial" w:cs="Arial"/>
          <w:sz w:val="22"/>
          <w:szCs w:val="22"/>
        </w:rPr>
        <w:t xml:space="preserve">The Council has a Redeployment policy that sets out the approach that should be taken with employees who face a possible redundancy situation. Reference must be made to this policy to avoid unnecessary redundancies and to retain required skills. </w:t>
      </w:r>
    </w:p>
    <w:p w14:paraId="07F6A417"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18"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19" w14:textId="77777777" w:rsidR="00BE757B" w:rsidRPr="00F14E90" w:rsidRDefault="00BE757B" w:rsidP="00F14E90">
      <w:pPr>
        <w:pStyle w:val="Heading1"/>
        <w:tabs>
          <w:tab w:val="left" w:pos="284"/>
        </w:tabs>
        <w:spacing w:after="0" w:line="240" w:lineRule="auto"/>
        <w:ind w:left="284" w:hanging="568"/>
        <w:rPr>
          <w:u w:val="single"/>
        </w:rPr>
      </w:pPr>
      <w:r w:rsidRPr="00F14E90">
        <w:rPr>
          <w:u w:val="single"/>
        </w:rPr>
        <w:t xml:space="preserve">Notice periods </w:t>
      </w:r>
    </w:p>
    <w:p w14:paraId="07F6A41A"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1B"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8.1   </w:t>
      </w:r>
      <w:r w:rsidR="00F14E90">
        <w:rPr>
          <w:rFonts w:ascii="Arial" w:hAnsi="Arial" w:cs="Arial"/>
          <w:sz w:val="22"/>
          <w:szCs w:val="22"/>
        </w:rPr>
        <w:tab/>
      </w:r>
      <w:r w:rsidRPr="00F14E90">
        <w:rPr>
          <w:rFonts w:ascii="Arial" w:hAnsi="Arial" w:cs="Arial"/>
          <w:sz w:val="22"/>
          <w:szCs w:val="22"/>
        </w:rPr>
        <w:t xml:space="preserve">Unless the employee’s contract of employment states otherwise, the statutory period of notice is as follows:   </w:t>
      </w:r>
    </w:p>
    <w:p w14:paraId="07F6A41C" w14:textId="77777777" w:rsidR="00BE757B" w:rsidRPr="00F14E90" w:rsidRDefault="00BE757B" w:rsidP="00F14E90">
      <w:pPr>
        <w:numPr>
          <w:ilvl w:val="0"/>
          <w:numId w:val="9"/>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One month or more but less than two years’ service – </w:t>
      </w:r>
      <w:proofErr w:type="gramStart"/>
      <w:r w:rsidRPr="00F14E90">
        <w:rPr>
          <w:rFonts w:ascii="Arial" w:hAnsi="Arial" w:cs="Arial"/>
          <w:sz w:val="22"/>
          <w:szCs w:val="22"/>
        </w:rPr>
        <w:t>one week</w:t>
      </w:r>
      <w:proofErr w:type="gramEnd"/>
      <w:r w:rsidRPr="00F14E90">
        <w:rPr>
          <w:rFonts w:ascii="Arial" w:hAnsi="Arial" w:cs="Arial"/>
          <w:sz w:val="22"/>
          <w:szCs w:val="22"/>
        </w:rPr>
        <w:t xml:space="preserve"> notice;  </w:t>
      </w:r>
    </w:p>
    <w:p w14:paraId="07F6A41D" w14:textId="77777777" w:rsidR="00BE757B" w:rsidRPr="00F14E90" w:rsidRDefault="00BE757B" w:rsidP="00F14E90">
      <w:pPr>
        <w:numPr>
          <w:ilvl w:val="0"/>
          <w:numId w:val="9"/>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Two years or more but less than 12 years’ service – one week’s notice for each year of continuous employment; and  </w:t>
      </w:r>
    </w:p>
    <w:p w14:paraId="07F6A41E" w14:textId="77777777" w:rsidR="00BE757B" w:rsidRPr="00F14E90" w:rsidRDefault="00BE757B" w:rsidP="00F14E90">
      <w:pPr>
        <w:numPr>
          <w:ilvl w:val="0"/>
          <w:numId w:val="9"/>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Twelve years or more service – twelve weeks’ notice.  </w:t>
      </w:r>
    </w:p>
    <w:p w14:paraId="07F6A41F"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20" w14:textId="77777777" w:rsidR="00BE757B" w:rsidRPr="00F14E90" w:rsidRDefault="00BE757B" w:rsidP="00F14E90">
      <w:pPr>
        <w:numPr>
          <w:ilvl w:val="1"/>
          <w:numId w:val="10"/>
        </w:numPr>
        <w:tabs>
          <w:tab w:val="left" w:pos="284"/>
        </w:tabs>
        <w:suppressAutoHyphens w:val="0"/>
        <w:ind w:left="284" w:right="368" w:hanging="568"/>
        <w:jc w:val="both"/>
        <w:rPr>
          <w:rFonts w:ascii="Arial" w:hAnsi="Arial" w:cs="Arial"/>
          <w:sz w:val="22"/>
          <w:szCs w:val="22"/>
        </w:rPr>
      </w:pPr>
      <w:r w:rsidRPr="00F14E90">
        <w:rPr>
          <w:rFonts w:ascii="Arial" w:hAnsi="Arial" w:cs="Arial"/>
          <w:sz w:val="22"/>
          <w:szCs w:val="22"/>
        </w:rPr>
        <w:t xml:space="preserve">For the purpose of assessing service, any continuous service from previous Local Authorities and certain other agencies may be counted in terms of the Local Government Modification Order - </w:t>
      </w:r>
      <w:r w:rsidRPr="00F14E90">
        <w:rPr>
          <w:rFonts w:ascii="Arial" w:eastAsia="Arial" w:hAnsi="Arial" w:cs="Arial"/>
          <w:b/>
          <w:sz w:val="22"/>
          <w:szCs w:val="22"/>
        </w:rPr>
        <w:t xml:space="preserve">Redundancy Payments (Continuity of Employment in Local Government, etc.) (Modification) Order 1999. </w:t>
      </w:r>
    </w:p>
    <w:p w14:paraId="07F6A421"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22" w14:textId="77777777" w:rsidR="00BE757B" w:rsidRPr="00F14E90" w:rsidRDefault="00BE757B" w:rsidP="00F14E90">
      <w:pPr>
        <w:numPr>
          <w:ilvl w:val="1"/>
          <w:numId w:val="10"/>
        </w:numPr>
        <w:tabs>
          <w:tab w:val="left" w:pos="284"/>
        </w:tabs>
        <w:suppressAutoHyphens w:val="0"/>
        <w:ind w:left="284" w:right="368" w:hanging="568"/>
        <w:jc w:val="both"/>
        <w:rPr>
          <w:rFonts w:ascii="Arial" w:hAnsi="Arial" w:cs="Arial"/>
          <w:sz w:val="22"/>
          <w:szCs w:val="22"/>
        </w:rPr>
      </w:pPr>
      <w:r w:rsidRPr="00F14E90">
        <w:rPr>
          <w:rFonts w:ascii="Arial" w:hAnsi="Arial" w:cs="Arial"/>
          <w:sz w:val="22"/>
          <w:szCs w:val="22"/>
        </w:rPr>
        <w:t xml:space="preserve">The notice of redundancy must be issued at the Statutory Dismissal (Redundancy) Interview and confirmed in writing to each individual affected including the following details:   </w:t>
      </w:r>
    </w:p>
    <w:p w14:paraId="07F6A423" w14:textId="77777777" w:rsidR="00BE757B" w:rsidRPr="00F14E90" w:rsidRDefault="00BE757B" w:rsidP="00F14E90">
      <w:pPr>
        <w:numPr>
          <w:ilvl w:val="0"/>
          <w:numId w:val="9"/>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reasons for the redundancy;  </w:t>
      </w:r>
    </w:p>
    <w:p w14:paraId="07F6A424" w14:textId="77777777" w:rsidR="00BE757B" w:rsidRPr="00F14E90" w:rsidRDefault="00BE757B" w:rsidP="00F14E90">
      <w:pPr>
        <w:numPr>
          <w:ilvl w:val="0"/>
          <w:numId w:val="9"/>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effective date of redundancy;  </w:t>
      </w:r>
    </w:p>
    <w:p w14:paraId="07F6A425" w14:textId="77777777" w:rsidR="00BE757B" w:rsidRPr="00F14E90" w:rsidRDefault="00BE757B" w:rsidP="00F14E90">
      <w:pPr>
        <w:numPr>
          <w:ilvl w:val="0"/>
          <w:numId w:val="9"/>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redundancy payment and how that has been calculated; and  </w:t>
      </w:r>
    </w:p>
    <w:p w14:paraId="07F6A426" w14:textId="77777777" w:rsidR="00BE757B" w:rsidRPr="00F14E90" w:rsidRDefault="00BE757B" w:rsidP="00F14E90">
      <w:pPr>
        <w:numPr>
          <w:ilvl w:val="0"/>
          <w:numId w:val="9"/>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right of appeal. </w:t>
      </w:r>
    </w:p>
    <w:p w14:paraId="07F6A427"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28"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8.4    If an employee leaves early without serving the requisite notice or without the Council’s agreement then this counts as a resignation and the employee may lose the right to a redundancy payment. Guidance must be sought from the HR department in such instances. </w:t>
      </w:r>
    </w:p>
    <w:p w14:paraId="07F6A429"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2A"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2B" w14:textId="77777777" w:rsidR="00BE757B" w:rsidRPr="00F14E90" w:rsidRDefault="00BE757B" w:rsidP="00F14E90">
      <w:pPr>
        <w:pStyle w:val="Heading1"/>
        <w:tabs>
          <w:tab w:val="left" w:pos="284"/>
        </w:tabs>
        <w:spacing w:after="0" w:line="240" w:lineRule="auto"/>
        <w:ind w:left="284" w:hanging="568"/>
        <w:rPr>
          <w:u w:val="single"/>
        </w:rPr>
      </w:pPr>
      <w:r w:rsidRPr="00F14E90">
        <w:rPr>
          <w:u w:val="single"/>
        </w:rPr>
        <w:t xml:space="preserve">Appeals against redundancy </w:t>
      </w:r>
    </w:p>
    <w:p w14:paraId="07F6A42C"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2D"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9.1   An employee of the Council wishing to appeal against selection for redundancy should do so in writing to the Professional Lead for HR within 10 working days of receiving written notification of the redundancy. </w:t>
      </w:r>
    </w:p>
    <w:p w14:paraId="07F6A42E"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2F"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9.2   Appeals against redundancy will be heard by an Appeals Panel consisting of Elected Members of the Employment and Appeals Committee with the necessary background and training. They will be advised by an HR Practitioner in the appeal. </w:t>
      </w:r>
    </w:p>
    <w:p w14:paraId="07F6A430"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31"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9.3   The Appeals Panel will hear the appeal as soon as practicably possible. Generally, this will be within 30 working days of registration of the appeal with the Professional Lead for HR. However, it must be recognised that in some cases there may be delays on either side due to numerous reasons. </w:t>
      </w:r>
    </w:p>
    <w:p w14:paraId="07F6A432"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33"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9.4   The employee shall be given not less than 10 working days' notice of the date of the hearing and may call witnesses and produce documents that are relevant to the appeal. All documentary evidence produced in pursuance of an appeal will be made available to all parties. The procedure to be followed at the Appeals Panel is the same as the appeal process outlined in the Council’s Disciplinary policy. </w:t>
      </w:r>
    </w:p>
    <w:p w14:paraId="07F6A434"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35" w14:textId="77777777" w:rsidR="00BE757B" w:rsidRPr="00F14E90" w:rsidRDefault="00BE757B" w:rsidP="00F14E90">
      <w:pPr>
        <w:tabs>
          <w:tab w:val="left" w:pos="284"/>
          <w:tab w:val="center" w:pos="528"/>
          <w:tab w:val="center" w:pos="3194"/>
        </w:tabs>
        <w:ind w:left="284" w:hanging="568"/>
        <w:rPr>
          <w:rFonts w:ascii="Arial" w:hAnsi="Arial" w:cs="Arial"/>
          <w:sz w:val="22"/>
          <w:szCs w:val="22"/>
        </w:rPr>
      </w:pPr>
      <w:r w:rsidRPr="00F14E90">
        <w:rPr>
          <w:rFonts w:ascii="Arial" w:hAnsi="Arial" w:cs="Arial"/>
          <w:sz w:val="22"/>
          <w:szCs w:val="22"/>
        </w:rPr>
        <w:t xml:space="preserve">9.5   </w:t>
      </w:r>
      <w:r w:rsidRPr="00F14E90">
        <w:rPr>
          <w:rFonts w:ascii="Arial" w:hAnsi="Arial" w:cs="Arial"/>
          <w:sz w:val="22"/>
          <w:szCs w:val="22"/>
        </w:rPr>
        <w:tab/>
        <w:t xml:space="preserve">The grounds for an appeal may include:   </w:t>
      </w:r>
    </w:p>
    <w:p w14:paraId="07F6A436" w14:textId="77777777" w:rsidR="00BE757B" w:rsidRPr="00F14E90" w:rsidRDefault="00BE757B" w:rsidP="00F14E90">
      <w:pPr>
        <w:numPr>
          <w:ilvl w:val="0"/>
          <w:numId w:val="11"/>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the selection procedure used;  </w:t>
      </w:r>
    </w:p>
    <w:p w14:paraId="07F6A437" w14:textId="77777777" w:rsidR="00BE757B" w:rsidRPr="00F14E90" w:rsidRDefault="00BE757B" w:rsidP="00F14E90">
      <w:pPr>
        <w:numPr>
          <w:ilvl w:val="0"/>
          <w:numId w:val="11"/>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the application of the procedure.  </w:t>
      </w:r>
    </w:p>
    <w:p w14:paraId="07F6A438"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lastRenderedPageBreak/>
        <w:t xml:space="preserve"> </w:t>
      </w:r>
    </w:p>
    <w:p w14:paraId="07F6A439" w14:textId="77777777" w:rsidR="00BE757B" w:rsidRPr="00F14E90" w:rsidRDefault="00BE757B" w:rsidP="00F14E90">
      <w:pPr>
        <w:numPr>
          <w:ilvl w:val="1"/>
          <w:numId w:val="12"/>
        </w:numPr>
        <w:tabs>
          <w:tab w:val="left" w:pos="284"/>
        </w:tabs>
        <w:suppressAutoHyphens w:val="0"/>
        <w:ind w:left="284" w:right="368" w:hanging="568"/>
        <w:jc w:val="both"/>
        <w:rPr>
          <w:rFonts w:ascii="Arial" w:hAnsi="Arial" w:cs="Arial"/>
          <w:sz w:val="22"/>
          <w:szCs w:val="22"/>
        </w:rPr>
      </w:pPr>
      <w:r w:rsidRPr="00F14E90">
        <w:rPr>
          <w:rFonts w:ascii="Arial" w:hAnsi="Arial" w:cs="Arial"/>
          <w:sz w:val="22"/>
          <w:szCs w:val="22"/>
        </w:rPr>
        <w:t xml:space="preserve">Where the appeal is not upheld, the employee will be informed in writing within 5 working days of the hearing and the panel will then notify the employing department of the decision. </w:t>
      </w:r>
    </w:p>
    <w:p w14:paraId="07F6A43A"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3B" w14:textId="77777777" w:rsidR="00BE757B" w:rsidRPr="00F14E90" w:rsidRDefault="00BE757B" w:rsidP="00F14E90">
      <w:pPr>
        <w:numPr>
          <w:ilvl w:val="1"/>
          <w:numId w:val="12"/>
        </w:numPr>
        <w:tabs>
          <w:tab w:val="left" w:pos="284"/>
        </w:tabs>
        <w:suppressAutoHyphens w:val="0"/>
        <w:ind w:left="284" w:right="368" w:hanging="568"/>
        <w:jc w:val="both"/>
        <w:rPr>
          <w:rFonts w:ascii="Arial" w:hAnsi="Arial" w:cs="Arial"/>
          <w:sz w:val="22"/>
          <w:szCs w:val="22"/>
        </w:rPr>
      </w:pPr>
      <w:r w:rsidRPr="00F14E90">
        <w:rPr>
          <w:rFonts w:ascii="Arial" w:hAnsi="Arial" w:cs="Arial"/>
          <w:sz w:val="22"/>
          <w:szCs w:val="22"/>
        </w:rPr>
        <w:t xml:space="preserve">Council employees are entitled to be represented by a fellow colleague or Trade Union representative at any stage of their respective appeal hearing procedure. </w:t>
      </w:r>
    </w:p>
    <w:p w14:paraId="07F6A43C"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3D"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3E" w14:textId="77777777" w:rsidR="00BE757B" w:rsidRPr="00F14E90" w:rsidRDefault="00BE757B" w:rsidP="00F14E90">
      <w:pPr>
        <w:pStyle w:val="Heading1"/>
        <w:tabs>
          <w:tab w:val="left" w:pos="284"/>
        </w:tabs>
        <w:spacing w:after="0" w:line="240" w:lineRule="auto"/>
        <w:ind w:left="284" w:hanging="568"/>
        <w:rPr>
          <w:u w:val="single"/>
        </w:rPr>
      </w:pPr>
      <w:r w:rsidRPr="00F14E90">
        <w:rPr>
          <w:u w:val="single"/>
        </w:rPr>
        <w:t xml:space="preserve">Misconduct by employees during notice periods </w:t>
      </w:r>
    </w:p>
    <w:p w14:paraId="07F6A43F" w14:textId="77777777" w:rsidR="00BE757B" w:rsidRPr="00F14E90" w:rsidRDefault="00BE757B" w:rsidP="00F14E90">
      <w:pPr>
        <w:tabs>
          <w:tab w:val="left" w:pos="284"/>
        </w:tabs>
        <w:ind w:left="284" w:hanging="568"/>
        <w:rPr>
          <w:rFonts w:ascii="Arial" w:hAnsi="Arial" w:cs="Arial"/>
          <w:sz w:val="22"/>
          <w:szCs w:val="22"/>
        </w:rPr>
      </w:pPr>
      <w:r w:rsidRPr="00F14E90">
        <w:rPr>
          <w:rFonts w:ascii="Arial" w:eastAsia="Arial" w:hAnsi="Arial" w:cs="Arial"/>
          <w:b/>
          <w:sz w:val="22"/>
          <w:szCs w:val="22"/>
        </w:rPr>
        <w:t xml:space="preserve"> </w:t>
      </w:r>
    </w:p>
    <w:p w14:paraId="07F6A440"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10.1 </w:t>
      </w:r>
      <w:r w:rsidR="00F14E90">
        <w:rPr>
          <w:rFonts w:ascii="Arial" w:hAnsi="Arial" w:cs="Arial"/>
          <w:sz w:val="22"/>
          <w:szCs w:val="22"/>
        </w:rPr>
        <w:tab/>
      </w:r>
      <w:r w:rsidRPr="00F14E90">
        <w:rPr>
          <w:rFonts w:ascii="Arial" w:hAnsi="Arial" w:cs="Arial"/>
          <w:sz w:val="22"/>
          <w:szCs w:val="22"/>
        </w:rPr>
        <w:t xml:space="preserve">If an employee is found to have breached their conduct in such a way as to justify summary dismissal, the employee loses their right to a redundancy payment.   </w:t>
      </w:r>
    </w:p>
    <w:p w14:paraId="07F6A441"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42"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10.2 </w:t>
      </w:r>
      <w:r w:rsidR="00F14E90">
        <w:rPr>
          <w:rFonts w:ascii="Arial" w:hAnsi="Arial" w:cs="Arial"/>
          <w:sz w:val="22"/>
          <w:szCs w:val="22"/>
        </w:rPr>
        <w:tab/>
      </w:r>
      <w:r w:rsidRPr="00F14E90">
        <w:rPr>
          <w:rFonts w:ascii="Arial" w:hAnsi="Arial" w:cs="Arial"/>
          <w:sz w:val="22"/>
          <w:szCs w:val="22"/>
        </w:rPr>
        <w:t xml:space="preserve">The Council is thus entitled to terminate the employee's contract by reason of the employee's conduct in accordance with the Council’s Disciplinary policy. </w:t>
      </w:r>
    </w:p>
    <w:p w14:paraId="07F6A443" w14:textId="77777777" w:rsidR="00BE757B" w:rsidRPr="00F14E90" w:rsidRDefault="00BE757B" w:rsidP="00F14E90">
      <w:pPr>
        <w:tabs>
          <w:tab w:val="left" w:pos="284"/>
        </w:tabs>
        <w:ind w:left="284" w:right="296" w:hanging="568"/>
        <w:jc w:val="center"/>
        <w:rPr>
          <w:rFonts w:ascii="Arial" w:hAnsi="Arial" w:cs="Arial"/>
          <w:sz w:val="22"/>
          <w:szCs w:val="22"/>
        </w:rPr>
      </w:pPr>
      <w:r w:rsidRPr="00F14E90">
        <w:rPr>
          <w:rFonts w:ascii="Arial" w:hAnsi="Arial" w:cs="Arial"/>
          <w:sz w:val="22"/>
          <w:szCs w:val="22"/>
        </w:rPr>
        <w:t xml:space="preserve"> </w:t>
      </w:r>
    </w:p>
    <w:p w14:paraId="07F6A444" w14:textId="77777777" w:rsidR="00BE757B" w:rsidRPr="00F14E90" w:rsidRDefault="00BE757B" w:rsidP="00F14E90">
      <w:pPr>
        <w:tabs>
          <w:tab w:val="left" w:pos="284"/>
        </w:tabs>
        <w:ind w:left="284" w:right="296" w:hanging="568"/>
        <w:jc w:val="center"/>
        <w:rPr>
          <w:rFonts w:ascii="Arial" w:hAnsi="Arial" w:cs="Arial"/>
          <w:sz w:val="22"/>
          <w:szCs w:val="22"/>
        </w:rPr>
      </w:pPr>
      <w:r w:rsidRPr="00F14E90">
        <w:rPr>
          <w:rFonts w:ascii="Arial" w:hAnsi="Arial" w:cs="Arial"/>
          <w:sz w:val="22"/>
          <w:szCs w:val="22"/>
        </w:rPr>
        <w:t xml:space="preserve"> </w:t>
      </w:r>
    </w:p>
    <w:p w14:paraId="07F6A445" w14:textId="77777777" w:rsidR="00BE757B" w:rsidRPr="00F14E90" w:rsidRDefault="00BE757B" w:rsidP="00F14E90">
      <w:pPr>
        <w:pStyle w:val="Heading1"/>
        <w:tabs>
          <w:tab w:val="left" w:pos="284"/>
        </w:tabs>
        <w:spacing w:after="0" w:line="240" w:lineRule="auto"/>
        <w:ind w:left="284" w:hanging="568"/>
        <w:rPr>
          <w:u w:val="single"/>
        </w:rPr>
      </w:pPr>
      <w:r w:rsidRPr="00F14E90">
        <w:rPr>
          <w:u w:val="single"/>
        </w:rPr>
        <w:t xml:space="preserve">Assisting employees at risk of redundancy </w:t>
      </w:r>
    </w:p>
    <w:p w14:paraId="07F6A446" w14:textId="77777777" w:rsidR="00BE757B" w:rsidRPr="00F14E90" w:rsidRDefault="00BE757B" w:rsidP="00F14E90">
      <w:pPr>
        <w:tabs>
          <w:tab w:val="left" w:pos="284"/>
        </w:tabs>
        <w:ind w:left="284" w:hanging="568"/>
        <w:rPr>
          <w:rFonts w:ascii="Arial" w:hAnsi="Arial" w:cs="Arial"/>
          <w:sz w:val="22"/>
          <w:szCs w:val="22"/>
        </w:rPr>
      </w:pPr>
      <w:r w:rsidRPr="00F14E90">
        <w:rPr>
          <w:rFonts w:ascii="Arial" w:eastAsia="Arial" w:hAnsi="Arial" w:cs="Arial"/>
          <w:b/>
          <w:sz w:val="22"/>
          <w:szCs w:val="22"/>
        </w:rPr>
        <w:t xml:space="preserve"> </w:t>
      </w:r>
    </w:p>
    <w:p w14:paraId="07F6A447"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11.1 </w:t>
      </w:r>
      <w:r w:rsidR="00F14E90">
        <w:rPr>
          <w:rFonts w:ascii="Arial" w:hAnsi="Arial" w:cs="Arial"/>
          <w:sz w:val="22"/>
          <w:szCs w:val="22"/>
        </w:rPr>
        <w:tab/>
      </w:r>
      <w:r w:rsidRPr="00F14E90">
        <w:rPr>
          <w:rFonts w:ascii="Arial" w:hAnsi="Arial" w:cs="Arial"/>
          <w:sz w:val="22"/>
          <w:szCs w:val="22"/>
        </w:rPr>
        <w:t xml:space="preserve">The following list is not exhaustive but gives guidance on the areas of assistance that may be given to employees whose posts have been declared redundant. Information and guidance on accessing support should be sought from the Council’s Recruitment Team in the first instance. </w:t>
      </w:r>
    </w:p>
    <w:p w14:paraId="07F6A448"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49"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11.2 </w:t>
      </w:r>
      <w:r w:rsidR="00F14E90">
        <w:rPr>
          <w:rFonts w:ascii="Arial" w:hAnsi="Arial" w:cs="Arial"/>
          <w:sz w:val="22"/>
          <w:szCs w:val="22"/>
        </w:rPr>
        <w:tab/>
      </w:r>
      <w:r w:rsidRPr="00F14E90">
        <w:rPr>
          <w:rFonts w:ascii="Arial" w:hAnsi="Arial" w:cs="Arial"/>
          <w:sz w:val="22"/>
          <w:szCs w:val="22"/>
          <w:u w:val="single" w:color="000000"/>
        </w:rPr>
        <w:t>Possible options</w:t>
      </w:r>
      <w:r w:rsidRPr="00F14E90">
        <w:rPr>
          <w:rFonts w:ascii="Arial" w:hAnsi="Arial" w:cs="Arial"/>
          <w:sz w:val="22"/>
          <w:szCs w:val="22"/>
        </w:rPr>
        <w:t xml:space="preserve">: </w:t>
      </w:r>
    </w:p>
    <w:p w14:paraId="07F6A44A"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4B" w14:textId="77777777" w:rsidR="00BE757B" w:rsidRPr="00F14E90" w:rsidRDefault="00BE757B" w:rsidP="00F14E90">
      <w:pPr>
        <w:numPr>
          <w:ilvl w:val="0"/>
          <w:numId w:val="1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redeployment register &amp; support;  </w:t>
      </w:r>
    </w:p>
    <w:p w14:paraId="07F6A44C" w14:textId="77777777" w:rsidR="00BE757B" w:rsidRPr="00F14E90" w:rsidRDefault="00BE757B" w:rsidP="00F14E90">
      <w:pPr>
        <w:numPr>
          <w:ilvl w:val="0"/>
          <w:numId w:val="1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redundancy counselling;  </w:t>
      </w:r>
    </w:p>
    <w:p w14:paraId="07F6A44D" w14:textId="77777777" w:rsidR="00BE757B" w:rsidRPr="00F14E90" w:rsidRDefault="00BE757B" w:rsidP="00F14E90">
      <w:pPr>
        <w:numPr>
          <w:ilvl w:val="0"/>
          <w:numId w:val="1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CV writing training;  </w:t>
      </w:r>
    </w:p>
    <w:p w14:paraId="07F6A44E" w14:textId="77777777" w:rsidR="00BE757B" w:rsidRPr="00F14E90" w:rsidRDefault="00BE757B" w:rsidP="00F14E90">
      <w:pPr>
        <w:numPr>
          <w:ilvl w:val="0"/>
          <w:numId w:val="1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interview skills training;  </w:t>
      </w:r>
    </w:p>
    <w:p w14:paraId="07F6A44F" w14:textId="77777777" w:rsidR="00BE757B" w:rsidRPr="00F14E90" w:rsidRDefault="00BE757B" w:rsidP="00F14E90">
      <w:pPr>
        <w:numPr>
          <w:ilvl w:val="0"/>
          <w:numId w:val="1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advice on retraining; </w:t>
      </w:r>
    </w:p>
    <w:p w14:paraId="07F6A450" w14:textId="77777777" w:rsidR="00BE757B" w:rsidRPr="00F14E90" w:rsidRDefault="00BE757B" w:rsidP="00F14E90">
      <w:pPr>
        <w:numPr>
          <w:ilvl w:val="0"/>
          <w:numId w:val="1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circulation of internal vacancy details; and </w:t>
      </w:r>
    </w:p>
    <w:p w14:paraId="07F6A451" w14:textId="77777777" w:rsidR="00BE757B" w:rsidRPr="00F14E90" w:rsidRDefault="00BE757B" w:rsidP="00F14E90">
      <w:pPr>
        <w:numPr>
          <w:ilvl w:val="0"/>
          <w:numId w:val="13"/>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where possible, advice on external vacancies/organisations. </w:t>
      </w:r>
    </w:p>
    <w:p w14:paraId="07F6A452"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53" w14:textId="77777777" w:rsidR="00BE757B" w:rsidRPr="00F14E90" w:rsidRDefault="00BE757B" w:rsidP="00F14E90">
      <w:pPr>
        <w:numPr>
          <w:ilvl w:val="1"/>
          <w:numId w:val="14"/>
        </w:numPr>
        <w:tabs>
          <w:tab w:val="left" w:pos="284"/>
        </w:tabs>
        <w:suppressAutoHyphens w:val="0"/>
        <w:ind w:left="284" w:hanging="568"/>
        <w:rPr>
          <w:rFonts w:ascii="Arial" w:hAnsi="Arial" w:cs="Arial"/>
          <w:sz w:val="22"/>
          <w:szCs w:val="22"/>
        </w:rPr>
      </w:pPr>
      <w:r w:rsidRPr="00F14E90">
        <w:rPr>
          <w:rFonts w:ascii="Arial" w:hAnsi="Arial" w:cs="Arial"/>
          <w:sz w:val="22"/>
          <w:szCs w:val="22"/>
          <w:u w:val="single" w:color="000000"/>
        </w:rPr>
        <w:t>Reasonable time-off</w:t>
      </w:r>
      <w:r w:rsidRPr="00F14E90">
        <w:rPr>
          <w:rFonts w:ascii="Arial" w:hAnsi="Arial" w:cs="Arial"/>
          <w:sz w:val="22"/>
          <w:szCs w:val="22"/>
        </w:rPr>
        <w:t xml:space="preserve">:  </w:t>
      </w:r>
    </w:p>
    <w:p w14:paraId="07F6A454"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r w:rsidRPr="00F14E90">
        <w:rPr>
          <w:rFonts w:ascii="Arial" w:hAnsi="Arial" w:cs="Arial"/>
          <w:sz w:val="22"/>
          <w:szCs w:val="22"/>
        </w:rPr>
        <w:tab/>
        <w:t xml:space="preserve"> </w:t>
      </w:r>
    </w:p>
    <w:p w14:paraId="07F6A455" w14:textId="77777777" w:rsidR="00BE757B" w:rsidRPr="00F14E90" w:rsidRDefault="00F14E90" w:rsidP="00F14E90">
      <w:pPr>
        <w:tabs>
          <w:tab w:val="left" w:pos="284"/>
        </w:tabs>
        <w:ind w:left="284" w:right="368" w:hanging="568"/>
        <w:rPr>
          <w:rFonts w:ascii="Arial" w:hAnsi="Arial" w:cs="Arial"/>
          <w:sz w:val="22"/>
          <w:szCs w:val="22"/>
        </w:rPr>
      </w:pPr>
      <w:r>
        <w:rPr>
          <w:rFonts w:ascii="Arial" w:hAnsi="Arial" w:cs="Arial"/>
          <w:sz w:val="22"/>
          <w:szCs w:val="22"/>
        </w:rPr>
        <w:tab/>
      </w:r>
      <w:r w:rsidR="00BE757B" w:rsidRPr="00F14E90">
        <w:rPr>
          <w:rFonts w:ascii="Arial" w:hAnsi="Arial" w:cs="Arial"/>
          <w:sz w:val="22"/>
          <w:szCs w:val="22"/>
        </w:rPr>
        <w:t xml:space="preserve">An employee who is under notice of redundancy is entitled to reasonable time off during working hours to look for new employment or </w:t>
      </w:r>
      <w:proofErr w:type="gramStart"/>
      <w:r w:rsidR="00BE757B" w:rsidRPr="00F14E90">
        <w:rPr>
          <w:rFonts w:ascii="Arial" w:hAnsi="Arial" w:cs="Arial"/>
          <w:sz w:val="22"/>
          <w:szCs w:val="22"/>
        </w:rPr>
        <w:t>make arrangements</w:t>
      </w:r>
      <w:proofErr w:type="gramEnd"/>
      <w:r w:rsidR="00BE757B" w:rsidRPr="00F14E90">
        <w:rPr>
          <w:rFonts w:ascii="Arial" w:hAnsi="Arial" w:cs="Arial"/>
          <w:sz w:val="22"/>
          <w:szCs w:val="22"/>
        </w:rPr>
        <w:t xml:space="preserve"> for training for future employment. The employee is entitled to be paid at the appropriate contractual rate for the period of absence. </w:t>
      </w:r>
    </w:p>
    <w:p w14:paraId="07F6A456"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57" w14:textId="77777777" w:rsidR="00BE757B" w:rsidRPr="00F14E90" w:rsidRDefault="00BE757B" w:rsidP="00F14E90">
      <w:pPr>
        <w:numPr>
          <w:ilvl w:val="1"/>
          <w:numId w:val="14"/>
        </w:numPr>
        <w:tabs>
          <w:tab w:val="left" w:pos="284"/>
        </w:tabs>
        <w:suppressAutoHyphens w:val="0"/>
        <w:ind w:left="284" w:hanging="568"/>
        <w:rPr>
          <w:rFonts w:ascii="Arial" w:hAnsi="Arial" w:cs="Arial"/>
          <w:sz w:val="22"/>
          <w:szCs w:val="22"/>
        </w:rPr>
      </w:pPr>
      <w:r w:rsidRPr="00F14E90">
        <w:rPr>
          <w:rFonts w:ascii="Arial" w:hAnsi="Arial" w:cs="Arial"/>
          <w:sz w:val="22"/>
          <w:szCs w:val="22"/>
          <w:u w:val="single" w:color="000000"/>
        </w:rPr>
        <w:t>External assistance</w:t>
      </w:r>
      <w:r w:rsidRPr="00F14E90">
        <w:rPr>
          <w:rFonts w:ascii="Arial" w:hAnsi="Arial" w:cs="Arial"/>
          <w:sz w:val="22"/>
          <w:szCs w:val="22"/>
        </w:rPr>
        <w:t xml:space="preserve"> </w:t>
      </w:r>
    </w:p>
    <w:p w14:paraId="07F6A458"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59" w14:textId="77777777" w:rsidR="00BE757B" w:rsidRPr="00F14E90" w:rsidRDefault="00F14E90" w:rsidP="00F14E90">
      <w:pPr>
        <w:tabs>
          <w:tab w:val="left" w:pos="284"/>
        </w:tabs>
        <w:ind w:left="284" w:right="368" w:hanging="568"/>
        <w:rPr>
          <w:rFonts w:ascii="Arial" w:hAnsi="Arial" w:cs="Arial"/>
          <w:sz w:val="22"/>
          <w:szCs w:val="22"/>
        </w:rPr>
      </w:pPr>
      <w:r>
        <w:rPr>
          <w:rFonts w:ascii="Arial" w:hAnsi="Arial" w:cs="Arial"/>
          <w:sz w:val="22"/>
          <w:szCs w:val="22"/>
        </w:rPr>
        <w:tab/>
      </w:r>
      <w:r w:rsidR="00BE757B" w:rsidRPr="00F14E90">
        <w:rPr>
          <w:rFonts w:ascii="Arial" w:hAnsi="Arial" w:cs="Arial"/>
          <w:sz w:val="22"/>
          <w:szCs w:val="22"/>
        </w:rPr>
        <w:t xml:space="preserve">For employees who live in Wales, the Welsh Government’s </w:t>
      </w:r>
      <w:proofErr w:type="spellStart"/>
      <w:r w:rsidR="00BE757B" w:rsidRPr="00F14E90">
        <w:rPr>
          <w:rFonts w:ascii="Arial" w:hAnsi="Arial" w:cs="Arial"/>
          <w:sz w:val="22"/>
          <w:szCs w:val="22"/>
        </w:rPr>
        <w:t>ReAct</w:t>
      </w:r>
      <w:proofErr w:type="spellEnd"/>
      <w:r w:rsidR="00BE757B" w:rsidRPr="00F14E90">
        <w:rPr>
          <w:rFonts w:ascii="Arial" w:hAnsi="Arial" w:cs="Arial"/>
          <w:sz w:val="22"/>
          <w:szCs w:val="22"/>
        </w:rPr>
        <w:t xml:space="preserve"> Programme, provides a package of support to help people gain new skills, overcome obstacles and improve their chances of returning to work in as short a time as possible after redundancy. Further information can be obtained on their website www.wales.gov.uk or by contacting the </w:t>
      </w:r>
      <w:proofErr w:type="spellStart"/>
      <w:r w:rsidR="00BE757B" w:rsidRPr="00F14E90">
        <w:rPr>
          <w:rFonts w:ascii="Arial" w:hAnsi="Arial" w:cs="Arial"/>
          <w:sz w:val="22"/>
          <w:szCs w:val="22"/>
        </w:rPr>
        <w:t>ReAct</w:t>
      </w:r>
      <w:proofErr w:type="spellEnd"/>
      <w:r w:rsidR="00BE757B" w:rsidRPr="00F14E90">
        <w:rPr>
          <w:rFonts w:ascii="Arial" w:hAnsi="Arial" w:cs="Arial"/>
          <w:sz w:val="22"/>
          <w:szCs w:val="22"/>
        </w:rPr>
        <w:t xml:space="preserve"> Helpline on </w:t>
      </w:r>
      <w:r w:rsidR="00BE757B" w:rsidRPr="00F14E90">
        <w:rPr>
          <w:rFonts w:ascii="Arial" w:eastAsia="Arial" w:hAnsi="Arial" w:cs="Arial"/>
          <w:b/>
          <w:sz w:val="22"/>
          <w:szCs w:val="22"/>
        </w:rPr>
        <w:t>0800 028 4844</w:t>
      </w:r>
      <w:r w:rsidR="00BE757B" w:rsidRPr="00F14E90">
        <w:rPr>
          <w:rFonts w:ascii="Arial" w:hAnsi="Arial" w:cs="Arial"/>
          <w:sz w:val="22"/>
          <w:szCs w:val="22"/>
        </w:rPr>
        <w:t xml:space="preserve">.  </w:t>
      </w:r>
    </w:p>
    <w:p w14:paraId="07F6A45A"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5B" w14:textId="77777777" w:rsidR="00BE757B" w:rsidRPr="00F14E90" w:rsidRDefault="00F14E90" w:rsidP="00F14E90">
      <w:pPr>
        <w:tabs>
          <w:tab w:val="left" w:pos="284"/>
        </w:tabs>
        <w:ind w:left="284" w:right="368" w:hanging="568"/>
        <w:rPr>
          <w:rFonts w:ascii="Arial" w:hAnsi="Arial" w:cs="Arial"/>
          <w:sz w:val="22"/>
          <w:szCs w:val="22"/>
        </w:rPr>
      </w:pPr>
      <w:r>
        <w:rPr>
          <w:rFonts w:ascii="Arial" w:hAnsi="Arial" w:cs="Arial"/>
          <w:sz w:val="22"/>
          <w:szCs w:val="22"/>
        </w:rPr>
        <w:tab/>
      </w:r>
      <w:r w:rsidR="00BE757B" w:rsidRPr="00F14E90">
        <w:rPr>
          <w:rFonts w:ascii="Arial" w:hAnsi="Arial" w:cs="Arial"/>
          <w:sz w:val="22"/>
          <w:szCs w:val="22"/>
        </w:rPr>
        <w:t xml:space="preserve">Furthermore, Jobcentre Plus has a “Rapid Response Service” which helps individuals to move quickly into alternative employment without the need to claim welfare benefits. They also help employees write CVs and find employment. </w:t>
      </w:r>
    </w:p>
    <w:p w14:paraId="07F6A45C"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5D" w14:textId="77777777" w:rsidR="00BE757B" w:rsidRPr="00F14E90" w:rsidRDefault="00F14E90" w:rsidP="00F14E90">
      <w:pPr>
        <w:tabs>
          <w:tab w:val="left" w:pos="284"/>
        </w:tabs>
        <w:ind w:left="284" w:right="368" w:hanging="568"/>
        <w:rPr>
          <w:rFonts w:ascii="Arial" w:hAnsi="Arial" w:cs="Arial"/>
          <w:sz w:val="22"/>
          <w:szCs w:val="22"/>
        </w:rPr>
      </w:pPr>
      <w:r>
        <w:rPr>
          <w:rFonts w:ascii="Arial" w:hAnsi="Arial" w:cs="Arial"/>
          <w:sz w:val="22"/>
          <w:szCs w:val="22"/>
        </w:rPr>
        <w:tab/>
      </w:r>
      <w:r w:rsidR="00BE757B" w:rsidRPr="00F14E90">
        <w:rPr>
          <w:rFonts w:ascii="Arial" w:hAnsi="Arial" w:cs="Arial"/>
          <w:sz w:val="22"/>
          <w:szCs w:val="22"/>
        </w:rPr>
        <w:t xml:space="preserve">Contact careerswales.com - Coping with Redundancy  </w:t>
      </w:r>
    </w:p>
    <w:p w14:paraId="07F6A45E"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5F" w14:textId="77777777" w:rsidR="00BE757B" w:rsidRPr="00F14E90" w:rsidRDefault="00AA3291" w:rsidP="00F14E90">
      <w:pPr>
        <w:tabs>
          <w:tab w:val="left" w:pos="-284"/>
        </w:tabs>
        <w:ind w:left="-284"/>
        <w:rPr>
          <w:rFonts w:ascii="Arial" w:hAnsi="Arial" w:cs="Arial"/>
          <w:sz w:val="22"/>
          <w:szCs w:val="22"/>
        </w:rPr>
      </w:pPr>
      <w:hyperlink r:id="rId9">
        <w:r w:rsidR="00BE757B" w:rsidRPr="00F14E90">
          <w:rPr>
            <w:rFonts w:ascii="Arial" w:hAnsi="Arial" w:cs="Arial"/>
            <w:sz w:val="22"/>
            <w:szCs w:val="22"/>
            <w:u w:val="single" w:color="000000"/>
          </w:rPr>
          <w:t>http://www.careerswales.com/en/jobs</w:t>
        </w:r>
      </w:hyperlink>
      <w:hyperlink r:id="rId10">
        <w:r w:rsidR="00BE757B" w:rsidRPr="00F14E90">
          <w:rPr>
            <w:rFonts w:ascii="Arial" w:hAnsi="Arial" w:cs="Arial"/>
            <w:sz w:val="22"/>
            <w:szCs w:val="22"/>
            <w:u w:val="single" w:color="000000"/>
          </w:rPr>
          <w:t>-</w:t>
        </w:r>
      </w:hyperlink>
      <w:hyperlink r:id="rId11">
        <w:r w:rsidR="00BE757B" w:rsidRPr="00F14E90">
          <w:rPr>
            <w:rFonts w:ascii="Arial" w:hAnsi="Arial" w:cs="Arial"/>
            <w:sz w:val="22"/>
            <w:szCs w:val="22"/>
            <w:u w:val="single" w:color="000000"/>
          </w:rPr>
          <w:t>and</w:t>
        </w:r>
      </w:hyperlink>
      <w:hyperlink r:id="rId12">
        <w:r w:rsidR="00BE757B" w:rsidRPr="00F14E90">
          <w:rPr>
            <w:rFonts w:ascii="Arial" w:hAnsi="Arial" w:cs="Arial"/>
            <w:sz w:val="22"/>
            <w:szCs w:val="22"/>
            <w:u w:val="single" w:color="000000"/>
          </w:rPr>
          <w:t>-</w:t>
        </w:r>
      </w:hyperlink>
      <w:hyperlink r:id="rId13">
        <w:r w:rsidR="00BE757B" w:rsidRPr="00F14E90">
          <w:rPr>
            <w:rFonts w:ascii="Arial" w:hAnsi="Arial" w:cs="Arial"/>
            <w:sz w:val="22"/>
            <w:szCs w:val="22"/>
            <w:u w:val="single" w:color="000000"/>
          </w:rPr>
          <w:t>training/unemployment</w:t>
        </w:r>
      </w:hyperlink>
      <w:hyperlink r:id="rId14">
        <w:r w:rsidR="00BE757B" w:rsidRPr="00F14E90">
          <w:rPr>
            <w:rFonts w:ascii="Arial" w:hAnsi="Arial" w:cs="Arial"/>
            <w:sz w:val="22"/>
            <w:szCs w:val="22"/>
            <w:u w:val="single" w:color="000000"/>
          </w:rPr>
          <w:t>-</w:t>
        </w:r>
      </w:hyperlink>
      <w:hyperlink r:id="rId15">
        <w:r w:rsidR="00BE757B" w:rsidRPr="00F14E90">
          <w:rPr>
            <w:rFonts w:ascii="Arial" w:hAnsi="Arial" w:cs="Arial"/>
            <w:sz w:val="22"/>
            <w:szCs w:val="22"/>
            <w:u w:val="single" w:color="000000"/>
          </w:rPr>
          <w:t>and</w:t>
        </w:r>
      </w:hyperlink>
      <w:hyperlink r:id="rId16"/>
      <w:hyperlink r:id="rId17">
        <w:r w:rsidR="00BE757B" w:rsidRPr="00F14E90">
          <w:rPr>
            <w:rFonts w:ascii="Arial" w:hAnsi="Arial" w:cs="Arial"/>
            <w:sz w:val="22"/>
            <w:szCs w:val="22"/>
            <w:u w:val="single" w:color="000000"/>
          </w:rPr>
          <w:t>redundancy/coping</w:t>
        </w:r>
      </w:hyperlink>
      <w:hyperlink r:id="rId18">
        <w:r w:rsidR="00BE757B" w:rsidRPr="00F14E90">
          <w:rPr>
            <w:rFonts w:ascii="Arial" w:hAnsi="Arial" w:cs="Arial"/>
            <w:sz w:val="22"/>
            <w:szCs w:val="22"/>
            <w:u w:val="single" w:color="000000"/>
          </w:rPr>
          <w:t>-</w:t>
        </w:r>
      </w:hyperlink>
      <w:hyperlink r:id="rId19">
        <w:r w:rsidR="00BE757B" w:rsidRPr="00F14E90">
          <w:rPr>
            <w:rFonts w:ascii="Arial" w:hAnsi="Arial" w:cs="Arial"/>
            <w:sz w:val="22"/>
            <w:szCs w:val="22"/>
            <w:u w:val="single" w:color="000000"/>
          </w:rPr>
          <w:t>with</w:t>
        </w:r>
      </w:hyperlink>
      <w:hyperlink r:id="rId20">
        <w:r w:rsidR="00BE757B" w:rsidRPr="00F14E90">
          <w:rPr>
            <w:rFonts w:ascii="Arial" w:hAnsi="Arial" w:cs="Arial"/>
            <w:sz w:val="22"/>
            <w:szCs w:val="22"/>
            <w:u w:val="single" w:color="000000"/>
          </w:rPr>
          <w:t>-</w:t>
        </w:r>
      </w:hyperlink>
      <w:hyperlink r:id="rId21">
        <w:r w:rsidR="00BE757B" w:rsidRPr="00F14E90">
          <w:rPr>
            <w:rFonts w:ascii="Arial" w:hAnsi="Arial" w:cs="Arial"/>
            <w:sz w:val="22"/>
            <w:szCs w:val="22"/>
            <w:u w:val="single" w:color="000000"/>
          </w:rPr>
          <w:t>redundancy/</w:t>
        </w:r>
      </w:hyperlink>
      <w:hyperlink r:id="rId22">
        <w:r w:rsidR="00BE757B" w:rsidRPr="00F14E90">
          <w:rPr>
            <w:rFonts w:ascii="Arial" w:hAnsi="Arial" w:cs="Arial"/>
            <w:sz w:val="22"/>
            <w:szCs w:val="22"/>
          </w:rPr>
          <w:t xml:space="preserve"> </w:t>
        </w:r>
      </w:hyperlink>
    </w:p>
    <w:p w14:paraId="07F6A460"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lastRenderedPageBreak/>
        <w:t xml:space="preserve"> </w:t>
      </w:r>
    </w:p>
    <w:p w14:paraId="07F6A461"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62" w14:textId="77777777" w:rsidR="00BE757B" w:rsidRPr="00F14E90" w:rsidRDefault="00BE757B" w:rsidP="00F14E90">
      <w:pPr>
        <w:pStyle w:val="Heading1"/>
        <w:tabs>
          <w:tab w:val="left" w:pos="284"/>
        </w:tabs>
        <w:spacing w:after="0" w:line="240" w:lineRule="auto"/>
        <w:ind w:left="284" w:hanging="568"/>
        <w:rPr>
          <w:u w:val="single"/>
        </w:rPr>
      </w:pPr>
      <w:r w:rsidRPr="00F14E90">
        <w:rPr>
          <w:u w:val="single"/>
        </w:rPr>
        <w:t xml:space="preserve">Redundancy payments </w:t>
      </w:r>
    </w:p>
    <w:p w14:paraId="07F6A463" w14:textId="77777777" w:rsidR="00BE757B" w:rsidRPr="00F14E90" w:rsidRDefault="00BE757B" w:rsidP="00F14E90">
      <w:pPr>
        <w:tabs>
          <w:tab w:val="left" w:pos="284"/>
        </w:tabs>
        <w:ind w:left="284" w:hanging="568"/>
        <w:rPr>
          <w:rFonts w:ascii="Arial" w:hAnsi="Arial" w:cs="Arial"/>
          <w:sz w:val="22"/>
          <w:szCs w:val="22"/>
        </w:rPr>
      </w:pPr>
      <w:r w:rsidRPr="00F14E90">
        <w:rPr>
          <w:rFonts w:ascii="Arial" w:eastAsia="Arial" w:hAnsi="Arial" w:cs="Arial"/>
          <w:b/>
          <w:sz w:val="22"/>
          <w:szCs w:val="22"/>
        </w:rPr>
        <w:t xml:space="preserve"> </w:t>
      </w:r>
    </w:p>
    <w:p w14:paraId="07F6A464"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12.1 </w:t>
      </w:r>
      <w:r w:rsidR="00F14E90">
        <w:rPr>
          <w:rFonts w:ascii="Arial" w:hAnsi="Arial" w:cs="Arial"/>
          <w:sz w:val="22"/>
          <w:szCs w:val="22"/>
        </w:rPr>
        <w:tab/>
      </w:r>
      <w:r w:rsidRPr="00F14E90">
        <w:rPr>
          <w:rFonts w:ascii="Arial" w:hAnsi="Arial" w:cs="Arial"/>
          <w:sz w:val="22"/>
          <w:szCs w:val="22"/>
        </w:rPr>
        <w:t xml:space="preserve">The Council will base redundancy payments on actual pay. </w:t>
      </w:r>
    </w:p>
    <w:p w14:paraId="07F6A465"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66"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12.2 </w:t>
      </w:r>
      <w:r w:rsidR="00F14E90">
        <w:rPr>
          <w:rFonts w:ascii="Arial" w:hAnsi="Arial" w:cs="Arial"/>
          <w:sz w:val="22"/>
          <w:szCs w:val="22"/>
        </w:rPr>
        <w:tab/>
      </w:r>
      <w:r w:rsidRPr="00F14E90">
        <w:rPr>
          <w:rFonts w:ascii="Arial" w:hAnsi="Arial" w:cs="Arial"/>
          <w:sz w:val="22"/>
          <w:szCs w:val="22"/>
        </w:rPr>
        <w:t xml:space="preserve">All employees are entitled to a minimum statutory redundancy payment if they have been working continuously with the current employer for 2 years or more. </w:t>
      </w:r>
    </w:p>
    <w:p w14:paraId="07F6A467"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68"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12.3 </w:t>
      </w:r>
      <w:r w:rsidR="00F14E90">
        <w:rPr>
          <w:rFonts w:ascii="Arial" w:hAnsi="Arial" w:cs="Arial"/>
          <w:sz w:val="22"/>
          <w:szCs w:val="22"/>
        </w:rPr>
        <w:tab/>
      </w:r>
      <w:r w:rsidRPr="00F14E90">
        <w:rPr>
          <w:rFonts w:ascii="Arial" w:hAnsi="Arial" w:cs="Arial"/>
          <w:sz w:val="22"/>
          <w:szCs w:val="22"/>
        </w:rPr>
        <w:t xml:space="preserve">Within Local Government, continuous service with other organisations, as defined under the provisions of The Redundancy Payments (Continuity of Employment in Local Government, </w:t>
      </w:r>
      <w:proofErr w:type="gramStart"/>
      <w:r w:rsidRPr="00F14E90">
        <w:rPr>
          <w:rFonts w:ascii="Arial" w:hAnsi="Arial" w:cs="Arial"/>
          <w:sz w:val="22"/>
          <w:szCs w:val="22"/>
        </w:rPr>
        <w:t>etc.)(</w:t>
      </w:r>
      <w:proofErr w:type="gramEnd"/>
      <w:r w:rsidRPr="00F14E90">
        <w:rPr>
          <w:rFonts w:ascii="Arial" w:hAnsi="Arial" w:cs="Arial"/>
          <w:sz w:val="22"/>
          <w:szCs w:val="22"/>
        </w:rPr>
        <w:t xml:space="preserve">Modification) Order 1999, will also apply to employees length of service when calculating redundancy entitlement. </w:t>
      </w:r>
    </w:p>
    <w:p w14:paraId="07F6A469"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6A"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12.4 </w:t>
      </w:r>
      <w:r w:rsidR="00F14E90">
        <w:rPr>
          <w:rFonts w:ascii="Arial" w:hAnsi="Arial" w:cs="Arial"/>
          <w:sz w:val="22"/>
          <w:szCs w:val="22"/>
        </w:rPr>
        <w:tab/>
      </w:r>
      <w:r w:rsidRPr="00F14E90">
        <w:rPr>
          <w:rFonts w:ascii="Arial" w:hAnsi="Arial" w:cs="Arial"/>
          <w:sz w:val="22"/>
          <w:szCs w:val="22"/>
        </w:rPr>
        <w:t xml:space="preserve">Subject to the provisions of paragraphs 12.5 to 12.7 below where applicable, employees with at least two years’ continuous service are entitled to a redundancy payment as detailed in ready reckoner illustrated in the Appendix B. </w:t>
      </w:r>
    </w:p>
    <w:p w14:paraId="07F6A46B"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6C" w14:textId="77777777" w:rsidR="00BE757B" w:rsidRPr="00F14E90" w:rsidRDefault="00F14E90" w:rsidP="00F14E90">
      <w:pPr>
        <w:tabs>
          <w:tab w:val="left" w:pos="284"/>
        </w:tabs>
        <w:ind w:left="284" w:right="374" w:hanging="568"/>
        <w:rPr>
          <w:rFonts w:ascii="Arial" w:hAnsi="Arial" w:cs="Arial"/>
          <w:sz w:val="22"/>
          <w:szCs w:val="22"/>
        </w:rPr>
      </w:pPr>
      <w:r>
        <w:rPr>
          <w:rFonts w:ascii="Arial" w:hAnsi="Arial" w:cs="Arial"/>
          <w:sz w:val="22"/>
          <w:szCs w:val="22"/>
        </w:rPr>
        <w:tab/>
      </w:r>
      <w:r w:rsidR="00BE757B" w:rsidRPr="00F14E90">
        <w:rPr>
          <w:rFonts w:ascii="Arial" w:hAnsi="Arial" w:cs="Arial"/>
          <w:sz w:val="22"/>
          <w:szCs w:val="22"/>
        </w:rPr>
        <w:t xml:space="preserve">The length of service is capped at 20 years, with the maximum redundancy payable being 30 weeks’ pay. This differs from the statutory maximum redundancy payable as illustrated in Appendix A and ensures that there will be equality for employees, regardless of age.  </w:t>
      </w:r>
    </w:p>
    <w:p w14:paraId="07F6A46D"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6E"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12.5 </w:t>
      </w:r>
      <w:r w:rsidR="007044FA">
        <w:rPr>
          <w:rFonts w:ascii="Arial" w:hAnsi="Arial" w:cs="Arial"/>
          <w:sz w:val="22"/>
          <w:szCs w:val="22"/>
        </w:rPr>
        <w:tab/>
      </w:r>
      <w:r w:rsidRPr="00F14E90">
        <w:rPr>
          <w:rFonts w:ascii="Arial" w:hAnsi="Arial" w:cs="Arial"/>
          <w:sz w:val="22"/>
          <w:szCs w:val="22"/>
        </w:rPr>
        <w:t xml:space="preserve">Those employees aged 55 or over who are members of the Local Government Pension Scheme (LGPS) and leave through redundancy, will be able to access their pension benefits and will also qualify for a statutory redundancy payment (at actual pay) of up to a maximum of 30 weeks, dependent on age and length of service (Appendix A). </w:t>
      </w:r>
    </w:p>
    <w:p w14:paraId="07F6A46F"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70"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 xml:space="preserve">12.6 </w:t>
      </w:r>
      <w:r w:rsidR="007044FA">
        <w:rPr>
          <w:rFonts w:ascii="Arial" w:hAnsi="Arial" w:cs="Arial"/>
          <w:sz w:val="22"/>
          <w:szCs w:val="22"/>
        </w:rPr>
        <w:tab/>
      </w:r>
      <w:r w:rsidRPr="00F14E90">
        <w:rPr>
          <w:rFonts w:ascii="Arial" w:hAnsi="Arial" w:cs="Arial"/>
          <w:sz w:val="22"/>
          <w:szCs w:val="22"/>
        </w:rPr>
        <w:t xml:space="preserve">In circumstances where the cost of the total package (including pension strain) for an employee in the 55 and over category amounts to less than that for an employee aged 54 or under category (with the same amount of service), the Council will make a payment equivalent to the difference in cost.  </w:t>
      </w:r>
    </w:p>
    <w:p w14:paraId="07F6A471"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72" w14:textId="77777777" w:rsidR="00BE757B" w:rsidRPr="00F14E90" w:rsidRDefault="00BE757B" w:rsidP="00F14E90">
      <w:pPr>
        <w:tabs>
          <w:tab w:val="left" w:pos="284"/>
        </w:tabs>
        <w:ind w:left="284" w:right="368" w:hanging="568"/>
        <w:rPr>
          <w:rFonts w:ascii="Arial" w:hAnsi="Arial" w:cs="Arial"/>
          <w:sz w:val="22"/>
          <w:szCs w:val="22"/>
        </w:rPr>
      </w:pPr>
      <w:r w:rsidRPr="00F14E90">
        <w:rPr>
          <w:rFonts w:ascii="Arial" w:hAnsi="Arial" w:cs="Arial"/>
          <w:sz w:val="22"/>
          <w:szCs w:val="22"/>
        </w:rPr>
        <w:t>12.7</w:t>
      </w:r>
      <w:r w:rsidR="007044FA">
        <w:rPr>
          <w:rFonts w:ascii="Arial" w:hAnsi="Arial" w:cs="Arial"/>
          <w:sz w:val="22"/>
          <w:szCs w:val="22"/>
        </w:rPr>
        <w:tab/>
      </w:r>
      <w:r w:rsidRPr="00F14E90">
        <w:rPr>
          <w:rFonts w:ascii="Arial" w:hAnsi="Arial" w:cs="Arial"/>
          <w:sz w:val="22"/>
          <w:szCs w:val="22"/>
        </w:rPr>
        <w:t xml:space="preserve">In more detail this can be explained as employees aged 55 or over at the date of redundancy are entitled to statutory redundancy compensation based on actual pay and access their pension benefits (if LGPS members). Employees under the age of 55 are entitled to redundancy compensation based on the Council scheme. Employees who are 55 and over at the time of redundancy, can access their pension benefits early with a cost attributed to the Council known as the pension strain. The total redundancy package inclusive of pension strain for employees aged 55 or over on the statutory scheme, will not be less than the redundancy package if the employee was under 55 and on the Council scheme. In the event of the statutory package plus pension strain being less than if the individual was under 55, the difference will be paid. This ensures equity across the scheme.  </w:t>
      </w:r>
    </w:p>
    <w:p w14:paraId="07F6A473"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74" w14:textId="77777777" w:rsidR="00BE757B" w:rsidRPr="00F14E90" w:rsidRDefault="00BE757B" w:rsidP="007044FA">
      <w:pPr>
        <w:tabs>
          <w:tab w:val="left" w:pos="284"/>
        </w:tabs>
        <w:ind w:left="284" w:right="368" w:hanging="568"/>
        <w:rPr>
          <w:rFonts w:ascii="Arial" w:hAnsi="Arial" w:cs="Arial"/>
          <w:sz w:val="22"/>
          <w:szCs w:val="22"/>
        </w:rPr>
      </w:pPr>
      <w:r w:rsidRPr="00F14E90">
        <w:rPr>
          <w:rFonts w:ascii="Arial" w:hAnsi="Arial" w:cs="Arial"/>
          <w:sz w:val="22"/>
          <w:szCs w:val="22"/>
        </w:rPr>
        <w:t xml:space="preserve">12.8 </w:t>
      </w:r>
      <w:r w:rsidR="007044FA">
        <w:rPr>
          <w:rFonts w:ascii="Arial" w:hAnsi="Arial" w:cs="Arial"/>
          <w:sz w:val="22"/>
          <w:szCs w:val="22"/>
        </w:rPr>
        <w:tab/>
      </w:r>
      <w:r w:rsidRPr="00F14E90">
        <w:rPr>
          <w:rFonts w:ascii="Arial" w:hAnsi="Arial" w:cs="Arial"/>
          <w:sz w:val="22"/>
          <w:szCs w:val="22"/>
        </w:rPr>
        <w:t xml:space="preserve">An employee may lose their right to a redundancy payment where:  </w:t>
      </w:r>
    </w:p>
    <w:p w14:paraId="07F6A475" w14:textId="77777777" w:rsidR="00BE757B" w:rsidRPr="007044FA" w:rsidRDefault="00BE757B" w:rsidP="007044FA">
      <w:pPr>
        <w:numPr>
          <w:ilvl w:val="0"/>
          <w:numId w:val="15"/>
        </w:numPr>
        <w:tabs>
          <w:tab w:val="left" w:pos="567"/>
        </w:tabs>
        <w:suppressAutoHyphens w:val="0"/>
        <w:ind w:left="567" w:right="368" w:hanging="283"/>
        <w:jc w:val="both"/>
        <w:rPr>
          <w:rFonts w:ascii="Arial" w:hAnsi="Arial" w:cs="Arial"/>
          <w:sz w:val="22"/>
          <w:szCs w:val="22"/>
        </w:rPr>
      </w:pPr>
      <w:r w:rsidRPr="007044FA">
        <w:rPr>
          <w:rFonts w:ascii="Arial" w:hAnsi="Arial" w:cs="Arial"/>
          <w:sz w:val="22"/>
          <w:szCs w:val="22"/>
        </w:rPr>
        <w:t xml:space="preserve">they refuse an offer of suitable alternative employment with the Council;   </w:t>
      </w:r>
    </w:p>
    <w:p w14:paraId="07F6A476" w14:textId="77777777" w:rsidR="00BE757B" w:rsidRPr="007044FA" w:rsidRDefault="00BE757B" w:rsidP="007044FA">
      <w:pPr>
        <w:numPr>
          <w:ilvl w:val="0"/>
          <w:numId w:val="15"/>
        </w:numPr>
        <w:tabs>
          <w:tab w:val="left" w:pos="567"/>
        </w:tabs>
        <w:suppressAutoHyphens w:val="0"/>
        <w:ind w:left="567" w:right="368" w:hanging="283"/>
        <w:jc w:val="both"/>
        <w:rPr>
          <w:rFonts w:ascii="Arial" w:hAnsi="Arial" w:cs="Arial"/>
          <w:sz w:val="22"/>
          <w:szCs w:val="22"/>
        </w:rPr>
      </w:pPr>
      <w:r w:rsidRPr="007044FA">
        <w:rPr>
          <w:rFonts w:ascii="Arial" w:hAnsi="Arial" w:cs="Arial"/>
          <w:sz w:val="22"/>
          <w:szCs w:val="22"/>
        </w:rPr>
        <w:t xml:space="preserve">before their last date of employment with the Council, they accept an offer of employment with an organisation covered by the Redundancy Payments (Continuity of Employment in Local Government, etc.) (Modification) Order, for a new job which starts within four weeks of their employment with the Council ending;  </w:t>
      </w:r>
    </w:p>
    <w:p w14:paraId="07F6A477" w14:textId="77777777" w:rsidR="00BE757B" w:rsidRPr="007044FA" w:rsidRDefault="00BE757B" w:rsidP="007044FA">
      <w:pPr>
        <w:numPr>
          <w:ilvl w:val="0"/>
          <w:numId w:val="15"/>
        </w:numPr>
        <w:tabs>
          <w:tab w:val="left" w:pos="567"/>
        </w:tabs>
        <w:suppressAutoHyphens w:val="0"/>
        <w:ind w:left="567" w:right="368" w:hanging="283"/>
        <w:jc w:val="both"/>
        <w:rPr>
          <w:rFonts w:ascii="Arial" w:hAnsi="Arial" w:cs="Arial"/>
          <w:sz w:val="22"/>
          <w:szCs w:val="22"/>
        </w:rPr>
      </w:pPr>
      <w:r w:rsidRPr="007044FA">
        <w:rPr>
          <w:rFonts w:ascii="Arial" w:hAnsi="Arial" w:cs="Arial"/>
          <w:sz w:val="22"/>
          <w:szCs w:val="22"/>
        </w:rPr>
        <w:t xml:space="preserve">leave their employment early without serving the requisite notice or without the Council’s agreement; or  </w:t>
      </w:r>
    </w:p>
    <w:p w14:paraId="07F6A478" w14:textId="77777777" w:rsidR="00BE757B" w:rsidRPr="00F14E90" w:rsidRDefault="00BE757B" w:rsidP="007044FA">
      <w:pPr>
        <w:numPr>
          <w:ilvl w:val="0"/>
          <w:numId w:val="15"/>
        </w:numPr>
        <w:tabs>
          <w:tab w:val="left" w:pos="567"/>
        </w:tabs>
        <w:suppressAutoHyphens w:val="0"/>
        <w:ind w:left="567" w:right="368" w:hanging="283"/>
        <w:jc w:val="both"/>
        <w:rPr>
          <w:rFonts w:ascii="Arial" w:hAnsi="Arial" w:cs="Arial"/>
          <w:sz w:val="22"/>
          <w:szCs w:val="22"/>
        </w:rPr>
      </w:pPr>
      <w:r w:rsidRPr="00F14E90">
        <w:rPr>
          <w:rFonts w:ascii="Arial" w:hAnsi="Arial" w:cs="Arial"/>
          <w:sz w:val="22"/>
          <w:szCs w:val="22"/>
        </w:rPr>
        <w:t xml:space="preserve">are found to have breached their conduct in such a way as to justify summary dismissal in accordance with the Council’s Disciplinary Policy.  </w:t>
      </w:r>
    </w:p>
    <w:p w14:paraId="07F6A479" w14:textId="77777777" w:rsidR="004F1717"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7A" w14:textId="77777777" w:rsidR="004F1717" w:rsidRDefault="004F1717">
      <w:pPr>
        <w:suppressAutoHyphens w:val="0"/>
        <w:spacing w:after="160" w:line="259" w:lineRule="auto"/>
        <w:rPr>
          <w:rFonts w:ascii="Arial" w:hAnsi="Arial" w:cs="Arial"/>
          <w:sz w:val="22"/>
          <w:szCs w:val="22"/>
        </w:rPr>
      </w:pPr>
      <w:r>
        <w:rPr>
          <w:rFonts w:ascii="Arial" w:hAnsi="Arial" w:cs="Arial"/>
          <w:sz w:val="22"/>
          <w:szCs w:val="22"/>
        </w:rPr>
        <w:br w:type="page"/>
      </w:r>
    </w:p>
    <w:p w14:paraId="07F6A47B" w14:textId="77777777" w:rsidR="00BE757B" w:rsidRPr="007044FA" w:rsidRDefault="00BE757B" w:rsidP="00F14E90">
      <w:pPr>
        <w:pStyle w:val="Heading1"/>
        <w:tabs>
          <w:tab w:val="left" w:pos="284"/>
        </w:tabs>
        <w:spacing w:after="0" w:line="240" w:lineRule="auto"/>
        <w:ind w:left="284" w:hanging="568"/>
        <w:rPr>
          <w:u w:val="single"/>
        </w:rPr>
      </w:pPr>
      <w:r w:rsidRPr="007044FA">
        <w:rPr>
          <w:u w:val="single"/>
        </w:rPr>
        <w:lastRenderedPageBreak/>
        <w:t xml:space="preserve">Record retention </w:t>
      </w:r>
    </w:p>
    <w:p w14:paraId="07F6A47C" w14:textId="77777777" w:rsidR="00BE757B" w:rsidRPr="00F14E90" w:rsidRDefault="00BE757B" w:rsidP="00F14E90">
      <w:pPr>
        <w:tabs>
          <w:tab w:val="left" w:pos="284"/>
        </w:tabs>
        <w:ind w:left="284" w:hanging="568"/>
        <w:rPr>
          <w:rFonts w:ascii="Arial" w:hAnsi="Arial" w:cs="Arial"/>
          <w:sz w:val="22"/>
          <w:szCs w:val="22"/>
        </w:rPr>
      </w:pPr>
      <w:r w:rsidRPr="00F14E90">
        <w:rPr>
          <w:rFonts w:ascii="Arial" w:eastAsia="Arial" w:hAnsi="Arial" w:cs="Arial"/>
          <w:b/>
          <w:sz w:val="22"/>
          <w:szCs w:val="22"/>
        </w:rPr>
        <w:t xml:space="preserve"> </w:t>
      </w:r>
    </w:p>
    <w:p w14:paraId="07F6A47D" w14:textId="77777777" w:rsidR="00BE757B" w:rsidRPr="00F14E90" w:rsidRDefault="00BE757B" w:rsidP="007044FA">
      <w:pPr>
        <w:tabs>
          <w:tab w:val="left" w:pos="284"/>
        </w:tabs>
        <w:ind w:left="284" w:hanging="568"/>
        <w:rPr>
          <w:rFonts w:ascii="Arial" w:hAnsi="Arial" w:cs="Arial"/>
          <w:sz w:val="22"/>
          <w:szCs w:val="22"/>
        </w:rPr>
      </w:pPr>
      <w:r w:rsidRPr="00F14E90">
        <w:rPr>
          <w:rFonts w:ascii="Arial" w:hAnsi="Arial" w:cs="Arial"/>
          <w:sz w:val="22"/>
          <w:szCs w:val="22"/>
        </w:rPr>
        <w:t xml:space="preserve">13.1 </w:t>
      </w:r>
      <w:r w:rsidR="007044FA">
        <w:rPr>
          <w:rFonts w:ascii="Arial" w:hAnsi="Arial" w:cs="Arial"/>
          <w:sz w:val="22"/>
          <w:szCs w:val="22"/>
        </w:rPr>
        <w:tab/>
      </w:r>
      <w:r w:rsidRPr="00F14E90">
        <w:rPr>
          <w:rFonts w:ascii="Arial" w:hAnsi="Arial" w:cs="Arial"/>
          <w:sz w:val="22"/>
          <w:szCs w:val="22"/>
        </w:rPr>
        <w:t xml:space="preserve">It is important that records pertaining to </w:t>
      </w:r>
      <w:r w:rsidRPr="00F14E90">
        <w:rPr>
          <w:rFonts w:ascii="Arial" w:hAnsi="Arial" w:cs="Arial"/>
          <w:sz w:val="22"/>
          <w:szCs w:val="22"/>
          <w:u w:val="single" w:color="000000"/>
        </w:rPr>
        <w:t>all</w:t>
      </w:r>
      <w:r w:rsidRPr="00F14E90">
        <w:rPr>
          <w:rFonts w:ascii="Arial" w:hAnsi="Arial" w:cs="Arial"/>
          <w:sz w:val="22"/>
          <w:szCs w:val="22"/>
        </w:rPr>
        <w:t xml:space="preserve"> approved redundancies are centrally held. </w:t>
      </w:r>
      <w:r w:rsidR="007044FA" w:rsidRPr="00F14E90">
        <w:rPr>
          <w:rFonts w:ascii="Arial" w:hAnsi="Arial" w:cs="Arial"/>
          <w:sz w:val="22"/>
          <w:szCs w:val="22"/>
        </w:rPr>
        <w:t>(Note that “centrally held” can refer</w:t>
      </w:r>
      <w:r w:rsidR="007044FA">
        <w:rPr>
          <w:rFonts w:ascii="Arial" w:hAnsi="Arial" w:cs="Arial"/>
          <w:sz w:val="22"/>
          <w:szCs w:val="22"/>
        </w:rPr>
        <w:t xml:space="preserve"> to an electronic repository.) </w:t>
      </w:r>
      <w:r w:rsidRPr="00F14E90">
        <w:rPr>
          <w:rFonts w:ascii="Arial" w:hAnsi="Arial" w:cs="Arial"/>
          <w:sz w:val="22"/>
          <w:szCs w:val="22"/>
        </w:rPr>
        <w:t xml:space="preserve">This should include the documentation in cases where voluntary redundancy applications have been declined as well. Please see the following table: </w:t>
      </w:r>
    </w:p>
    <w:tbl>
      <w:tblPr>
        <w:tblStyle w:val="TableGrid"/>
        <w:tblpPr w:leftFromText="180" w:rightFromText="180" w:vertAnchor="text" w:horzAnchor="margin" w:tblpY="82"/>
        <w:tblW w:w="9896" w:type="dxa"/>
        <w:tblInd w:w="0" w:type="dxa"/>
        <w:tblCellMar>
          <w:top w:w="11" w:type="dxa"/>
          <w:left w:w="470" w:type="dxa"/>
          <w:right w:w="115" w:type="dxa"/>
        </w:tblCellMar>
        <w:tblLook w:val="04A0" w:firstRow="1" w:lastRow="0" w:firstColumn="1" w:lastColumn="0" w:noHBand="0" w:noVBand="1"/>
      </w:tblPr>
      <w:tblGrid>
        <w:gridCol w:w="5287"/>
        <w:gridCol w:w="4609"/>
      </w:tblGrid>
      <w:tr w:rsidR="004F1717" w:rsidRPr="00F14E90" w14:paraId="07F6A480" w14:textId="77777777" w:rsidTr="004F1717">
        <w:trPr>
          <w:trHeight w:val="286"/>
        </w:trPr>
        <w:tc>
          <w:tcPr>
            <w:tcW w:w="5287" w:type="dxa"/>
            <w:tcBorders>
              <w:top w:val="single" w:sz="4" w:space="0" w:color="000000"/>
              <w:left w:val="single" w:sz="4" w:space="0" w:color="000000"/>
              <w:bottom w:val="single" w:sz="4" w:space="0" w:color="000000"/>
              <w:right w:val="single" w:sz="4" w:space="0" w:color="000000"/>
            </w:tcBorders>
          </w:tcPr>
          <w:p w14:paraId="07F6A47E" w14:textId="77777777" w:rsidR="004F1717" w:rsidRPr="007044FA" w:rsidRDefault="004F1717" w:rsidP="004F1717">
            <w:pPr>
              <w:tabs>
                <w:tab w:val="left" w:pos="-328"/>
              </w:tabs>
              <w:ind w:left="-328"/>
              <w:rPr>
                <w:rFonts w:ascii="Arial" w:hAnsi="Arial" w:cs="Arial"/>
                <w:sz w:val="18"/>
                <w:szCs w:val="18"/>
              </w:rPr>
            </w:pPr>
            <w:r w:rsidRPr="007044FA">
              <w:rPr>
                <w:rFonts w:ascii="Arial" w:eastAsia="Arial" w:hAnsi="Arial" w:cs="Arial"/>
                <w:b/>
                <w:sz w:val="18"/>
                <w:szCs w:val="18"/>
              </w:rPr>
              <w:t xml:space="preserve">Document </w:t>
            </w:r>
          </w:p>
        </w:tc>
        <w:tc>
          <w:tcPr>
            <w:tcW w:w="4609" w:type="dxa"/>
            <w:tcBorders>
              <w:top w:val="single" w:sz="4" w:space="0" w:color="000000"/>
              <w:left w:val="single" w:sz="4" w:space="0" w:color="000000"/>
              <w:bottom w:val="single" w:sz="4" w:space="0" w:color="000000"/>
              <w:right w:val="single" w:sz="4" w:space="0" w:color="000000"/>
            </w:tcBorders>
          </w:tcPr>
          <w:p w14:paraId="07F6A47F" w14:textId="77777777" w:rsidR="004F1717" w:rsidRPr="007044FA" w:rsidRDefault="004F1717" w:rsidP="004F1717">
            <w:pPr>
              <w:tabs>
                <w:tab w:val="left" w:pos="-328"/>
              </w:tabs>
              <w:ind w:left="-328"/>
              <w:rPr>
                <w:rFonts w:ascii="Arial" w:hAnsi="Arial" w:cs="Arial"/>
                <w:sz w:val="18"/>
                <w:szCs w:val="18"/>
              </w:rPr>
            </w:pPr>
            <w:r w:rsidRPr="007044FA">
              <w:rPr>
                <w:rFonts w:ascii="Arial" w:eastAsia="Arial" w:hAnsi="Arial" w:cs="Arial"/>
                <w:b/>
                <w:sz w:val="18"/>
                <w:szCs w:val="18"/>
              </w:rPr>
              <w:t xml:space="preserve">Location </w:t>
            </w:r>
          </w:p>
        </w:tc>
      </w:tr>
      <w:tr w:rsidR="004F1717" w:rsidRPr="00F14E90" w14:paraId="07F6A483" w14:textId="77777777" w:rsidTr="004F1717">
        <w:tc>
          <w:tcPr>
            <w:tcW w:w="5287" w:type="dxa"/>
            <w:tcBorders>
              <w:top w:val="single" w:sz="4" w:space="0" w:color="000000"/>
              <w:left w:val="single" w:sz="4" w:space="0" w:color="000000"/>
              <w:bottom w:val="single" w:sz="4" w:space="0" w:color="000000"/>
              <w:right w:val="single" w:sz="4" w:space="0" w:color="000000"/>
            </w:tcBorders>
          </w:tcPr>
          <w:p w14:paraId="07F6A481" w14:textId="77777777" w:rsidR="004F1717" w:rsidRPr="007044FA" w:rsidRDefault="004F1717" w:rsidP="004F1717">
            <w:pPr>
              <w:tabs>
                <w:tab w:val="left" w:pos="-328"/>
              </w:tabs>
              <w:ind w:left="-328"/>
              <w:rPr>
                <w:rFonts w:ascii="Arial" w:hAnsi="Arial" w:cs="Arial"/>
                <w:sz w:val="18"/>
                <w:szCs w:val="18"/>
              </w:rPr>
            </w:pPr>
            <w:r w:rsidRPr="007044FA">
              <w:rPr>
                <w:rFonts w:ascii="Arial" w:hAnsi="Arial" w:cs="Arial"/>
                <w:sz w:val="18"/>
                <w:szCs w:val="18"/>
              </w:rPr>
              <w:t xml:space="preserve">Business case  </w:t>
            </w:r>
          </w:p>
        </w:tc>
        <w:tc>
          <w:tcPr>
            <w:tcW w:w="4609" w:type="dxa"/>
            <w:tcBorders>
              <w:top w:val="single" w:sz="4" w:space="0" w:color="000000"/>
              <w:left w:val="single" w:sz="4" w:space="0" w:color="000000"/>
              <w:bottom w:val="single" w:sz="4" w:space="0" w:color="000000"/>
              <w:right w:val="single" w:sz="4" w:space="0" w:color="000000"/>
            </w:tcBorders>
          </w:tcPr>
          <w:p w14:paraId="07F6A482" w14:textId="77777777" w:rsidR="004F1717" w:rsidRPr="007044FA" w:rsidRDefault="004F1717" w:rsidP="004F1717">
            <w:pPr>
              <w:tabs>
                <w:tab w:val="left" w:pos="-328"/>
              </w:tabs>
              <w:ind w:left="-328"/>
              <w:rPr>
                <w:rFonts w:ascii="Arial" w:hAnsi="Arial" w:cs="Arial"/>
                <w:sz w:val="18"/>
                <w:szCs w:val="18"/>
              </w:rPr>
            </w:pPr>
            <w:r w:rsidRPr="007044FA">
              <w:rPr>
                <w:rFonts w:ascii="Arial" w:hAnsi="Arial" w:cs="Arial"/>
                <w:sz w:val="18"/>
                <w:szCs w:val="18"/>
              </w:rPr>
              <w:t xml:space="preserve">On employee file and centrally held </w:t>
            </w:r>
          </w:p>
        </w:tc>
      </w:tr>
      <w:tr w:rsidR="004F1717" w:rsidRPr="00F14E90" w14:paraId="07F6A486" w14:textId="77777777" w:rsidTr="004F1717">
        <w:tc>
          <w:tcPr>
            <w:tcW w:w="5287" w:type="dxa"/>
            <w:tcBorders>
              <w:top w:val="single" w:sz="4" w:space="0" w:color="000000"/>
              <w:left w:val="single" w:sz="4" w:space="0" w:color="000000"/>
              <w:bottom w:val="single" w:sz="4" w:space="0" w:color="000000"/>
              <w:right w:val="single" w:sz="4" w:space="0" w:color="000000"/>
            </w:tcBorders>
          </w:tcPr>
          <w:p w14:paraId="07F6A484" w14:textId="77777777" w:rsidR="004F1717" w:rsidRPr="007044FA" w:rsidRDefault="004F1717" w:rsidP="004F1717">
            <w:pPr>
              <w:tabs>
                <w:tab w:val="left" w:pos="-328"/>
              </w:tabs>
              <w:ind w:left="-328"/>
              <w:rPr>
                <w:rFonts w:ascii="Arial" w:hAnsi="Arial" w:cs="Arial"/>
                <w:sz w:val="18"/>
                <w:szCs w:val="18"/>
              </w:rPr>
            </w:pPr>
            <w:r w:rsidRPr="007044FA">
              <w:rPr>
                <w:rFonts w:ascii="Arial" w:hAnsi="Arial" w:cs="Arial"/>
                <w:sz w:val="18"/>
                <w:szCs w:val="18"/>
              </w:rPr>
              <w:t xml:space="preserve">Consultation timetable </w:t>
            </w:r>
          </w:p>
        </w:tc>
        <w:tc>
          <w:tcPr>
            <w:tcW w:w="4609" w:type="dxa"/>
            <w:tcBorders>
              <w:top w:val="single" w:sz="4" w:space="0" w:color="000000"/>
              <w:left w:val="single" w:sz="4" w:space="0" w:color="000000"/>
              <w:bottom w:val="single" w:sz="4" w:space="0" w:color="000000"/>
              <w:right w:val="single" w:sz="4" w:space="0" w:color="000000"/>
            </w:tcBorders>
          </w:tcPr>
          <w:p w14:paraId="07F6A485" w14:textId="77777777" w:rsidR="004F1717" w:rsidRPr="007044FA" w:rsidRDefault="004F1717" w:rsidP="004F1717">
            <w:pPr>
              <w:tabs>
                <w:tab w:val="left" w:pos="-328"/>
              </w:tabs>
              <w:ind w:left="-328"/>
              <w:rPr>
                <w:rFonts w:ascii="Arial" w:hAnsi="Arial" w:cs="Arial"/>
                <w:sz w:val="18"/>
                <w:szCs w:val="18"/>
              </w:rPr>
            </w:pPr>
            <w:r w:rsidRPr="007044FA">
              <w:rPr>
                <w:rFonts w:ascii="Arial" w:hAnsi="Arial" w:cs="Arial"/>
                <w:sz w:val="18"/>
                <w:szCs w:val="18"/>
              </w:rPr>
              <w:t xml:space="preserve">Centrally held </w:t>
            </w:r>
          </w:p>
        </w:tc>
      </w:tr>
      <w:tr w:rsidR="004F1717" w:rsidRPr="00F14E90" w14:paraId="07F6A489" w14:textId="77777777" w:rsidTr="004F1717">
        <w:tc>
          <w:tcPr>
            <w:tcW w:w="5287" w:type="dxa"/>
            <w:tcBorders>
              <w:top w:val="single" w:sz="4" w:space="0" w:color="000000"/>
              <w:left w:val="single" w:sz="4" w:space="0" w:color="000000"/>
              <w:bottom w:val="single" w:sz="4" w:space="0" w:color="000000"/>
              <w:right w:val="single" w:sz="4" w:space="0" w:color="000000"/>
            </w:tcBorders>
          </w:tcPr>
          <w:p w14:paraId="07F6A487" w14:textId="77777777" w:rsidR="004F1717" w:rsidRPr="007044FA" w:rsidRDefault="004F1717" w:rsidP="004F1717">
            <w:pPr>
              <w:tabs>
                <w:tab w:val="left" w:pos="-328"/>
              </w:tabs>
              <w:ind w:left="-328"/>
              <w:rPr>
                <w:rFonts w:ascii="Arial" w:hAnsi="Arial" w:cs="Arial"/>
                <w:sz w:val="18"/>
                <w:szCs w:val="18"/>
              </w:rPr>
            </w:pPr>
            <w:r w:rsidRPr="007044FA">
              <w:rPr>
                <w:rFonts w:ascii="Arial" w:hAnsi="Arial" w:cs="Arial"/>
                <w:sz w:val="18"/>
                <w:szCs w:val="18"/>
              </w:rPr>
              <w:t xml:space="preserve">Counter-proposals </w:t>
            </w:r>
          </w:p>
        </w:tc>
        <w:tc>
          <w:tcPr>
            <w:tcW w:w="4609" w:type="dxa"/>
            <w:tcBorders>
              <w:top w:val="single" w:sz="4" w:space="0" w:color="000000"/>
              <w:left w:val="single" w:sz="4" w:space="0" w:color="000000"/>
              <w:bottom w:val="single" w:sz="4" w:space="0" w:color="000000"/>
              <w:right w:val="single" w:sz="4" w:space="0" w:color="000000"/>
            </w:tcBorders>
          </w:tcPr>
          <w:p w14:paraId="07F6A488" w14:textId="77777777" w:rsidR="004F1717" w:rsidRPr="007044FA" w:rsidRDefault="004F1717" w:rsidP="004F1717">
            <w:pPr>
              <w:tabs>
                <w:tab w:val="left" w:pos="-328"/>
              </w:tabs>
              <w:ind w:left="-328"/>
              <w:rPr>
                <w:rFonts w:ascii="Arial" w:hAnsi="Arial" w:cs="Arial"/>
                <w:sz w:val="18"/>
                <w:szCs w:val="18"/>
              </w:rPr>
            </w:pPr>
            <w:r w:rsidRPr="007044FA">
              <w:rPr>
                <w:rFonts w:ascii="Arial" w:hAnsi="Arial" w:cs="Arial"/>
                <w:sz w:val="18"/>
                <w:szCs w:val="18"/>
              </w:rPr>
              <w:t xml:space="preserve">Centrally held </w:t>
            </w:r>
          </w:p>
        </w:tc>
      </w:tr>
      <w:tr w:rsidR="004F1717" w:rsidRPr="00F14E90" w14:paraId="07F6A48C" w14:textId="77777777" w:rsidTr="004F1717">
        <w:tc>
          <w:tcPr>
            <w:tcW w:w="5287" w:type="dxa"/>
            <w:tcBorders>
              <w:top w:val="single" w:sz="4" w:space="0" w:color="000000"/>
              <w:left w:val="single" w:sz="4" w:space="0" w:color="000000"/>
              <w:bottom w:val="single" w:sz="4" w:space="0" w:color="000000"/>
              <w:right w:val="single" w:sz="4" w:space="0" w:color="000000"/>
            </w:tcBorders>
          </w:tcPr>
          <w:p w14:paraId="07F6A48A" w14:textId="77777777" w:rsidR="004F1717" w:rsidRPr="007044FA" w:rsidRDefault="004F1717" w:rsidP="004F1717">
            <w:pPr>
              <w:tabs>
                <w:tab w:val="left" w:pos="-328"/>
              </w:tabs>
              <w:ind w:left="-328"/>
              <w:rPr>
                <w:rFonts w:ascii="Arial" w:hAnsi="Arial" w:cs="Arial"/>
                <w:sz w:val="18"/>
                <w:szCs w:val="18"/>
              </w:rPr>
            </w:pPr>
            <w:r w:rsidRPr="007044FA">
              <w:rPr>
                <w:rFonts w:ascii="Arial" w:hAnsi="Arial" w:cs="Arial"/>
                <w:sz w:val="18"/>
                <w:szCs w:val="18"/>
              </w:rPr>
              <w:t xml:space="preserve">Individual (“one-to-one”) consultation notes </w:t>
            </w:r>
          </w:p>
        </w:tc>
        <w:tc>
          <w:tcPr>
            <w:tcW w:w="4609" w:type="dxa"/>
            <w:tcBorders>
              <w:top w:val="single" w:sz="4" w:space="0" w:color="000000"/>
              <w:left w:val="single" w:sz="4" w:space="0" w:color="000000"/>
              <w:bottom w:val="single" w:sz="4" w:space="0" w:color="000000"/>
              <w:right w:val="single" w:sz="4" w:space="0" w:color="000000"/>
            </w:tcBorders>
          </w:tcPr>
          <w:p w14:paraId="07F6A48B" w14:textId="77777777" w:rsidR="004F1717" w:rsidRPr="007044FA" w:rsidRDefault="004F1717" w:rsidP="004F1717">
            <w:pPr>
              <w:tabs>
                <w:tab w:val="left" w:pos="-328"/>
              </w:tabs>
              <w:ind w:left="-328"/>
              <w:rPr>
                <w:rFonts w:ascii="Arial" w:hAnsi="Arial" w:cs="Arial"/>
                <w:sz w:val="18"/>
                <w:szCs w:val="18"/>
              </w:rPr>
            </w:pPr>
            <w:r w:rsidRPr="007044FA">
              <w:rPr>
                <w:rFonts w:ascii="Arial" w:hAnsi="Arial" w:cs="Arial"/>
                <w:sz w:val="18"/>
                <w:szCs w:val="18"/>
              </w:rPr>
              <w:t xml:space="preserve">On employee file and centrally held </w:t>
            </w:r>
          </w:p>
        </w:tc>
      </w:tr>
      <w:tr w:rsidR="004F1717" w:rsidRPr="00F14E90" w14:paraId="07F6A48F" w14:textId="77777777" w:rsidTr="004F1717">
        <w:tc>
          <w:tcPr>
            <w:tcW w:w="5287" w:type="dxa"/>
            <w:tcBorders>
              <w:top w:val="single" w:sz="4" w:space="0" w:color="000000"/>
              <w:left w:val="single" w:sz="4" w:space="0" w:color="000000"/>
              <w:bottom w:val="single" w:sz="4" w:space="0" w:color="000000"/>
              <w:right w:val="single" w:sz="4" w:space="0" w:color="000000"/>
            </w:tcBorders>
          </w:tcPr>
          <w:p w14:paraId="07F6A48D" w14:textId="77777777" w:rsidR="004F1717" w:rsidRPr="007044FA" w:rsidRDefault="004F1717" w:rsidP="004F1717">
            <w:pPr>
              <w:tabs>
                <w:tab w:val="left" w:pos="-328"/>
              </w:tabs>
              <w:ind w:left="-328"/>
              <w:rPr>
                <w:rFonts w:ascii="Arial" w:hAnsi="Arial" w:cs="Arial"/>
                <w:sz w:val="18"/>
                <w:szCs w:val="18"/>
              </w:rPr>
            </w:pPr>
            <w:r w:rsidRPr="007044FA">
              <w:rPr>
                <w:rFonts w:ascii="Arial" w:hAnsi="Arial" w:cs="Arial"/>
                <w:sz w:val="18"/>
                <w:szCs w:val="18"/>
              </w:rPr>
              <w:t xml:space="preserve">Notice of redundancy termination letter </w:t>
            </w:r>
          </w:p>
        </w:tc>
        <w:tc>
          <w:tcPr>
            <w:tcW w:w="4609" w:type="dxa"/>
            <w:tcBorders>
              <w:top w:val="single" w:sz="4" w:space="0" w:color="000000"/>
              <w:left w:val="single" w:sz="4" w:space="0" w:color="000000"/>
              <w:bottom w:val="single" w:sz="4" w:space="0" w:color="000000"/>
              <w:right w:val="single" w:sz="4" w:space="0" w:color="000000"/>
            </w:tcBorders>
          </w:tcPr>
          <w:p w14:paraId="07F6A48E" w14:textId="77777777" w:rsidR="004F1717" w:rsidRPr="007044FA" w:rsidRDefault="004F1717" w:rsidP="004F1717">
            <w:pPr>
              <w:tabs>
                <w:tab w:val="left" w:pos="-328"/>
              </w:tabs>
              <w:ind w:left="-328"/>
              <w:rPr>
                <w:rFonts w:ascii="Arial" w:hAnsi="Arial" w:cs="Arial"/>
                <w:sz w:val="18"/>
                <w:szCs w:val="18"/>
              </w:rPr>
            </w:pPr>
            <w:r w:rsidRPr="007044FA">
              <w:rPr>
                <w:rFonts w:ascii="Arial" w:hAnsi="Arial" w:cs="Arial"/>
                <w:sz w:val="18"/>
                <w:szCs w:val="18"/>
              </w:rPr>
              <w:t xml:space="preserve">On employee file </w:t>
            </w:r>
          </w:p>
        </w:tc>
      </w:tr>
      <w:tr w:rsidR="004F1717" w:rsidRPr="00F14E90" w14:paraId="07F6A492" w14:textId="77777777" w:rsidTr="004F1717">
        <w:tc>
          <w:tcPr>
            <w:tcW w:w="5287" w:type="dxa"/>
            <w:tcBorders>
              <w:top w:val="single" w:sz="4" w:space="0" w:color="000000"/>
              <w:left w:val="single" w:sz="4" w:space="0" w:color="000000"/>
              <w:bottom w:val="single" w:sz="4" w:space="0" w:color="000000"/>
              <w:right w:val="single" w:sz="4" w:space="0" w:color="000000"/>
            </w:tcBorders>
          </w:tcPr>
          <w:p w14:paraId="07F6A490" w14:textId="77777777" w:rsidR="004F1717" w:rsidRPr="007044FA" w:rsidRDefault="004F1717" w:rsidP="004F1717">
            <w:pPr>
              <w:tabs>
                <w:tab w:val="left" w:pos="-328"/>
              </w:tabs>
              <w:ind w:left="-328"/>
              <w:rPr>
                <w:rFonts w:ascii="Arial" w:hAnsi="Arial" w:cs="Arial"/>
                <w:sz w:val="18"/>
                <w:szCs w:val="18"/>
              </w:rPr>
            </w:pPr>
            <w:r w:rsidRPr="007044FA">
              <w:rPr>
                <w:rFonts w:ascii="Arial" w:hAnsi="Arial" w:cs="Arial"/>
                <w:sz w:val="18"/>
                <w:szCs w:val="18"/>
              </w:rPr>
              <w:t xml:space="preserve">Redundancy selection scoresheet </w:t>
            </w:r>
          </w:p>
        </w:tc>
        <w:tc>
          <w:tcPr>
            <w:tcW w:w="4609" w:type="dxa"/>
            <w:tcBorders>
              <w:top w:val="single" w:sz="4" w:space="0" w:color="000000"/>
              <w:left w:val="single" w:sz="4" w:space="0" w:color="000000"/>
              <w:bottom w:val="single" w:sz="4" w:space="0" w:color="000000"/>
              <w:right w:val="single" w:sz="4" w:space="0" w:color="000000"/>
            </w:tcBorders>
          </w:tcPr>
          <w:p w14:paraId="07F6A491" w14:textId="77777777" w:rsidR="004F1717" w:rsidRPr="007044FA" w:rsidRDefault="004F1717" w:rsidP="004F1717">
            <w:pPr>
              <w:tabs>
                <w:tab w:val="left" w:pos="-328"/>
              </w:tabs>
              <w:ind w:left="-328"/>
              <w:rPr>
                <w:rFonts w:ascii="Arial" w:hAnsi="Arial" w:cs="Arial"/>
                <w:sz w:val="18"/>
                <w:szCs w:val="18"/>
              </w:rPr>
            </w:pPr>
            <w:r w:rsidRPr="007044FA">
              <w:rPr>
                <w:rFonts w:ascii="Arial" w:hAnsi="Arial" w:cs="Arial"/>
                <w:sz w:val="18"/>
                <w:szCs w:val="18"/>
              </w:rPr>
              <w:t xml:space="preserve">On employee file and centrally held </w:t>
            </w:r>
          </w:p>
        </w:tc>
      </w:tr>
      <w:tr w:rsidR="004F1717" w:rsidRPr="00F14E90" w14:paraId="07F6A495" w14:textId="77777777" w:rsidTr="004F1717">
        <w:tc>
          <w:tcPr>
            <w:tcW w:w="5287" w:type="dxa"/>
            <w:tcBorders>
              <w:top w:val="single" w:sz="4" w:space="0" w:color="000000"/>
              <w:left w:val="single" w:sz="4" w:space="0" w:color="000000"/>
              <w:bottom w:val="single" w:sz="4" w:space="0" w:color="000000"/>
              <w:right w:val="single" w:sz="4" w:space="0" w:color="000000"/>
            </w:tcBorders>
          </w:tcPr>
          <w:p w14:paraId="07F6A493" w14:textId="77777777" w:rsidR="004F1717" w:rsidRPr="007044FA" w:rsidRDefault="004F1717" w:rsidP="004F1717">
            <w:pPr>
              <w:tabs>
                <w:tab w:val="left" w:pos="-328"/>
              </w:tabs>
              <w:ind w:left="-328"/>
              <w:rPr>
                <w:rFonts w:ascii="Arial" w:hAnsi="Arial" w:cs="Arial"/>
                <w:sz w:val="18"/>
                <w:szCs w:val="18"/>
              </w:rPr>
            </w:pPr>
            <w:r w:rsidRPr="007044FA">
              <w:rPr>
                <w:rFonts w:ascii="Arial" w:hAnsi="Arial" w:cs="Arial"/>
                <w:sz w:val="18"/>
                <w:szCs w:val="18"/>
              </w:rPr>
              <w:t xml:space="preserve">Redundancy appeal letter </w:t>
            </w:r>
          </w:p>
        </w:tc>
        <w:tc>
          <w:tcPr>
            <w:tcW w:w="4609" w:type="dxa"/>
            <w:tcBorders>
              <w:top w:val="single" w:sz="4" w:space="0" w:color="000000"/>
              <w:left w:val="single" w:sz="4" w:space="0" w:color="000000"/>
              <w:bottom w:val="single" w:sz="4" w:space="0" w:color="000000"/>
              <w:right w:val="single" w:sz="4" w:space="0" w:color="000000"/>
            </w:tcBorders>
          </w:tcPr>
          <w:p w14:paraId="07F6A494" w14:textId="77777777" w:rsidR="004F1717" w:rsidRPr="007044FA" w:rsidRDefault="004F1717" w:rsidP="004F1717">
            <w:pPr>
              <w:tabs>
                <w:tab w:val="left" w:pos="-328"/>
              </w:tabs>
              <w:ind w:left="-328"/>
              <w:rPr>
                <w:rFonts w:ascii="Arial" w:hAnsi="Arial" w:cs="Arial"/>
                <w:sz w:val="18"/>
                <w:szCs w:val="18"/>
              </w:rPr>
            </w:pPr>
            <w:r w:rsidRPr="007044FA">
              <w:rPr>
                <w:rFonts w:ascii="Arial" w:hAnsi="Arial" w:cs="Arial"/>
                <w:sz w:val="18"/>
                <w:szCs w:val="18"/>
              </w:rPr>
              <w:t xml:space="preserve">On employee file and centrally held </w:t>
            </w:r>
          </w:p>
        </w:tc>
      </w:tr>
      <w:tr w:rsidR="004F1717" w:rsidRPr="00F14E90" w14:paraId="07F6A498" w14:textId="77777777" w:rsidTr="004F1717">
        <w:tc>
          <w:tcPr>
            <w:tcW w:w="5287" w:type="dxa"/>
            <w:tcBorders>
              <w:top w:val="single" w:sz="4" w:space="0" w:color="000000"/>
              <w:left w:val="single" w:sz="4" w:space="0" w:color="000000"/>
              <w:bottom w:val="single" w:sz="4" w:space="0" w:color="000000"/>
              <w:right w:val="single" w:sz="4" w:space="0" w:color="000000"/>
            </w:tcBorders>
          </w:tcPr>
          <w:p w14:paraId="07F6A496" w14:textId="77777777" w:rsidR="004F1717" w:rsidRPr="007044FA" w:rsidRDefault="004F1717" w:rsidP="004F1717">
            <w:pPr>
              <w:tabs>
                <w:tab w:val="left" w:pos="-328"/>
              </w:tabs>
              <w:ind w:left="-328"/>
              <w:rPr>
                <w:rFonts w:ascii="Arial" w:hAnsi="Arial" w:cs="Arial"/>
                <w:sz w:val="18"/>
                <w:szCs w:val="18"/>
              </w:rPr>
            </w:pPr>
            <w:r w:rsidRPr="007044FA">
              <w:rPr>
                <w:rFonts w:ascii="Arial" w:hAnsi="Arial" w:cs="Arial"/>
                <w:sz w:val="18"/>
                <w:szCs w:val="18"/>
              </w:rPr>
              <w:t xml:space="preserve">Redundancy appeal outcome record/letter </w:t>
            </w:r>
          </w:p>
        </w:tc>
        <w:tc>
          <w:tcPr>
            <w:tcW w:w="4609" w:type="dxa"/>
            <w:tcBorders>
              <w:top w:val="single" w:sz="4" w:space="0" w:color="000000"/>
              <w:left w:val="single" w:sz="4" w:space="0" w:color="000000"/>
              <w:bottom w:val="single" w:sz="4" w:space="0" w:color="000000"/>
              <w:right w:val="single" w:sz="4" w:space="0" w:color="000000"/>
            </w:tcBorders>
          </w:tcPr>
          <w:p w14:paraId="07F6A497" w14:textId="77777777" w:rsidR="004F1717" w:rsidRPr="007044FA" w:rsidRDefault="004F1717" w:rsidP="004F1717">
            <w:pPr>
              <w:tabs>
                <w:tab w:val="left" w:pos="-328"/>
              </w:tabs>
              <w:ind w:left="-328"/>
              <w:rPr>
                <w:rFonts w:ascii="Arial" w:hAnsi="Arial" w:cs="Arial"/>
                <w:sz w:val="18"/>
                <w:szCs w:val="18"/>
              </w:rPr>
            </w:pPr>
            <w:r w:rsidRPr="007044FA">
              <w:rPr>
                <w:rFonts w:ascii="Arial" w:hAnsi="Arial" w:cs="Arial"/>
                <w:sz w:val="18"/>
                <w:szCs w:val="18"/>
              </w:rPr>
              <w:t xml:space="preserve">On employee file and centrally held </w:t>
            </w:r>
          </w:p>
        </w:tc>
      </w:tr>
      <w:tr w:rsidR="004F1717" w:rsidRPr="00F14E90" w14:paraId="07F6A49B" w14:textId="77777777" w:rsidTr="004F1717">
        <w:tc>
          <w:tcPr>
            <w:tcW w:w="5287" w:type="dxa"/>
            <w:tcBorders>
              <w:top w:val="single" w:sz="4" w:space="0" w:color="000000"/>
              <w:left w:val="single" w:sz="4" w:space="0" w:color="000000"/>
              <w:bottom w:val="single" w:sz="4" w:space="0" w:color="000000"/>
              <w:right w:val="single" w:sz="4" w:space="0" w:color="000000"/>
            </w:tcBorders>
          </w:tcPr>
          <w:p w14:paraId="07F6A499" w14:textId="77777777" w:rsidR="004F1717" w:rsidRPr="007044FA" w:rsidRDefault="004F1717" w:rsidP="004F1717">
            <w:pPr>
              <w:tabs>
                <w:tab w:val="left" w:pos="-328"/>
              </w:tabs>
              <w:ind w:left="-328"/>
              <w:rPr>
                <w:rFonts w:ascii="Arial" w:hAnsi="Arial" w:cs="Arial"/>
                <w:sz w:val="18"/>
                <w:szCs w:val="18"/>
              </w:rPr>
            </w:pPr>
            <w:r w:rsidRPr="007044FA">
              <w:rPr>
                <w:rFonts w:ascii="Arial" w:hAnsi="Arial" w:cs="Arial"/>
                <w:sz w:val="18"/>
                <w:szCs w:val="18"/>
              </w:rPr>
              <w:t xml:space="preserve">Strategic/equality impact assessment </w:t>
            </w:r>
          </w:p>
        </w:tc>
        <w:tc>
          <w:tcPr>
            <w:tcW w:w="4609" w:type="dxa"/>
            <w:tcBorders>
              <w:top w:val="single" w:sz="4" w:space="0" w:color="000000"/>
              <w:left w:val="single" w:sz="4" w:space="0" w:color="000000"/>
              <w:bottom w:val="single" w:sz="4" w:space="0" w:color="000000"/>
              <w:right w:val="single" w:sz="4" w:space="0" w:color="000000"/>
            </w:tcBorders>
          </w:tcPr>
          <w:p w14:paraId="07F6A49A" w14:textId="77777777" w:rsidR="004F1717" w:rsidRPr="007044FA" w:rsidRDefault="004F1717" w:rsidP="004F1717">
            <w:pPr>
              <w:tabs>
                <w:tab w:val="left" w:pos="-328"/>
              </w:tabs>
              <w:ind w:left="-328"/>
              <w:rPr>
                <w:rFonts w:ascii="Arial" w:hAnsi="Arial" w:cs="Arial"/>
                <w:sz w:val="18"/>
                <w:szCs w:val="18"/>
              </w:rPr>
            </w:pPr>
            <w:r w:rsidRPr="007044FA">
              <w:rPr>
                <w:rFonts w:ascii="Arial" w:hAnsi="Arial" w:cs="Arial"/>
                <w:sz w:val="18"/>
                <w:szCs w:val="18"/>
              </w:rPr>
              <w:t xml:space="preserve">Centrally held </w:t>
            </w:r>
          </w:p>
        </w:tc>
      </w:tr>
      <w:tr w:rsidR="004F1717" w:rsidRPr="00F14E90" w14:paraId="07F6A49E" w14:textId="77777777" w:rsidTr="004F1717">
        <w:tc>
          <w:tcPr>
            <w:tcW w:w="5287" w:type="dxa"/>
            <w:tcBorders>
              <w:top w:val="single" w:sz="4" w:space="0" w:color="000000"/>
              <w:left w:val="single" w:sz="4" w:space="0" w:color="000000"/>
              <w:bottom w:val="single" w:sz="4" w:space="0" w:color="000000"/>
              <w:right w:val="single" w:sz="4" w:space="0" w:color="000000"/>
            </w:tcBorders>
          </w:tcPr>
          <w:p w14:paraId="07F6A49C" w14:textId="77777777" w:rsidR="004F1717" w:rsidRPr="007044FA" w:rsidRDefault="004F1717" w:rsidP="004F1717">
            <w:pPr>
              <w:tabs>
                <w:tab w:val="left" w:pos="-328"/>
              </w:tabs>
              <w:ind w:left="-328"/>
              <w:rPr>
                <w:rFonts w:ascii="Arial" w:hAnsi="Arial" w:cs="Arial"/>
                <w:sz w:val="18"/>
                <w:szCs w:val="18"/>
              </w:rPr>
            </w:pPr>
            <w:r w:rsidRPr="007044FA">
              <w:rPr>
                <w:rFonts w:ascii="Arial" w:hAnsi="Arial" w:cs="Arial"/>
                <w:sz w:val="18"/>
                <w:szCs w:val="18"/>
              </w:rPr>
              <w:t xml:space="preserve">Structure charts (pre and post) </w:t>
            </w:r>
          </w:p>
        </w:tc>
        <w:tc>
          <w:tcPr>
            <w:tcW w:w="4609" w:type="dxa"/>
            <w:tcBorders>
              <w:top w:val="single" w:sz="4" w:space="0" w:color="000000"/>
              <w:left w:val="single" w:sz="4" w:space="0" w:color="000000"/>
              <w:bottom w:val="single" w:sz="4" w:space="0" w:color="000000"/>
              <w:right w:val="single" w:sz="4" w:space="0" w:color="000000"/>
            </w:tcBorders>
          </w:tcPr>
          <w:p w14:paraId="07F6A49D" w14:textId="77777777" w:rsidR="004F1717" w:rsidRPr="007044FA" w:rsidRDefault="004F1717" w:rsidP="004F1717">
            <w:pPr>
              <w:tabs>
                <w:tab w:val="left" w:pos="-328"/>
              </w:tabs>
              <w:ind w:left="-328"/>
              <w:rPr>
                <w:rFonts w:ascii="Arial" w:hAnsi="Arial" w:cs="Arial"/>
                <w:sz w:val="18"/>
                <w:szCs w:val="18"/>
              </w:rPr>
            </w:pPr>
            <w:r w:rsidRPr="007044FA">
              <w:rPr>
                <w:rFonts w:ascii="Arial" w:hAnsi="Arial" w:cs="Arial"/>
                <w:sz w:val="18"/>
                <w:szCs w:val="18"/>
              </w:rPr>
              <w:t xml:space="preserve">Centrally held </w:t>
            </w:r>
          </w:p>
        </w:tc>
      </w:tr>
    </w:tbl>
    <w:p w14:paraId="07F6A49F"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A0" w14:textId="77777777" w:rsidR="00BE757B" w:rsidRPr="007044FA" w:rsidRDefault="00BE757B" w:rsidP="00F14E90">
      <w:pPr>
        <w:pStyle w:val="Heading1"/>
        <w:tabs>
          <w:tab w:val="left" w:pos="284"/>
        </w:tabs>
        <w:spacing w:after="0" w:line="240" w:lineRule="auto"/>
        <w:ind w:left="284" w:hanging="568"/>
        <w:rPr>
          <w:u w:val="single"/>
        </w:rPr>
      </w:pPr>
      <w:r w:rsidRPr="007044FA">
        <w:rPr>
          <w:u w:val="single"/>
        </w:rPr>
        <w:t xml:space="preserve">Policy history </w:t>
      </w:r>
    </w:p>
    <w:p w14:paraId="07F6A4A1" w14:textId="77777777" w:rsidR="00BE757B" w:rsidRPr="00F14E90" w:rsidRDefault="00BE757B" w:rsidP="00F14E90">
      <w:pPr>
        <w:tabs>
          <w:tab w:val="left" w:pos="284"/>
        </w:tabs>
        <w:ind w:left="284" w:hanging="568"/>
        <w:rPr>
          <w:rFonts w:ascii="Arial" w:hAnsi="Arial" w:cs="Arial"/>
          <w:sz w:val="22"/>
          <w:szCs w:val="22"/>
        </w:rPr>
      </w:pPr>
      <w:r w:rsidRPr="00F14E90">
        <w:rPr>
          <w:rFonts w:ascii="Arial" w:eastAsia="Arial" w:hAnsi="Arial" w:cs="Arial"/>
          <w:b/>
          <w:sz w:val="22"/>
          <w:szCs w:val="22"/>
        </w:rPr>
        <w:t xml:space="preserve"> </w:t>
      </w:r>
      <w:r w:rsidRPr="00F14E90">
        <w:rPr>
          <w:rFonts w:ascii="Arial" w:hAnsi="Arial" w:cs="Arial"/>
          <w:sz w:val="22"/>
          <w:szCs w:val="22"/>
        </w:rPr>
        <w:t xml:space="preserve"> </w:t>
      </w:r>
    </w:p>
    <w:tbl>
      <w:tblPr>
        <w:tblStyle w:val="TableGrid"/>
        <w:tblW w:w="9702" w:type="dxa"/>
        <w:tblInd w:w="-106" w:type="dxa"/>
        <w:tblCellMar>
          <w:top w:w="11" w:type="dxa"/>
          <w:left w:w="106" w:type="dxa"/>
          <w:right w:w="68" w:type="dxa"/>
        </w:tblCellMar>
        <w:tblLook w:val="04A0" w:firstRow="1" w:lastRow="0" w:firstColumn="1" w:lastColumn="0" w:noHBand="0" w:noVBand="1"/>
      </w:tblPr>
      <w:tblGrid>
        <w:gridCol w:w="1519"/>
        <w:gridCol w:w="2977"/>
        <w:gridCol w:w="1701"/>
        <w:gridCol w:w="2126"/>
        <w:gridCol w:w="1379"/>
      </w:tblGrid>
      <w:tr w:rsidR="00BE757B" w:rsidRPr="00F14E90" w14:paraId="07F6A4A9" w14:textId="77777777" w:rsidTr="004F1717">
        <w:tc>
          <w:tcPr>
            <w:tcW w:w="1519" w:type="dxa"/>
            <w:tcBorders>
              <w:top w:val="single" w:sz="4" w:space="0" w:color="000000"/>
              <w:left w:val="single" w:sz="4" w:space="0" w:color="000000"/>
              <w:bottom w:val="single" w:sz="4" w:space="0" w:color="000000"/>
              <w:right w:val="single" w:sz="4" w:space="0" w:color="000000"/>
            </w:tcBorders>
            <w:shd w:val="clear" w:color="auto" w:fill="C0C0C0"/>
          </w:tcPr>
          <w:p w14:paraId="07F6A4A2" w14:textId="77777777" w:rsidR="00BE757B" w:rsidRPr="007044FA" w:rsidRDefault="00BE757B" w:rsidP="007044FA">
            <w:pPr>
              <w:tabs>
                <w:tab w:val="left" w:pos="-5"/>
              </w:tabs>
              <w:ind w:hanging="5"/>
              <w:rPr>
                <w:rFonts w:ascii="Arial" w:hAnsi="Arial" w:cs="Arial"/>
                <w:szCs w:val="22"/>
              </w:rPr>
            </w:pPr>
            <w:r w:rsidRPr="007044FA">
              <w:rPr>
                <w:rFonts w:ascii="Arial" w:hAnsi="Arial" w:cs="Arial"/>
                <w:szCs w:val="22"/>
              </w:rPr>
              <w:t xml:space="preserve"> Policy Date </w:t>
            </w:r>
          </w:p>
          <w:p w14:paraId="07F6A4A3" w14:textId="77777777" w:rsidR="00BE757B" w:rsidRPr="007044FA" w:rsidRDefault="00BE757B" w:rsidP="007044FA">
            <w:pPr>
              <w:tabs>
                <w:tab w:val="left" w:pos="-5"/>
              </w:tabs>
              <w:ind w:hanging="5"/>
              <w:rPr>
                <w:rFonts w:ascii="Arial" w:hAnsi="Arial" w:cs="Arial"/>
                <w:szCs w:val="22"/>
              </w:rPr>
            </w:pPr>
            <w:r w:rsidRPr="007044FA">
              <w:rPr>
                <w:rFonts w:ascii="Arial" w:hAnsi="Arial" w:cs="Arial"/>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C0C0C0"/>
          </w:tcPr>
          <w:p w14:paraId="07F6A4A4" w14:textId="77777777" w:rsidR="00BE757B" w:rsidRPr="007044FA" w:rsidRDefault="00BE757B" w:rsidP="004F1717">
            <w:pPr>
              <w:tabs>
                <w:tab w:val="left" w:pos="0"/>
              </w:tabs>
              <w:rPr>
                <w:rFonts w:ascii="Arial" w:hAnsi="Arial" w:cs="Arial"/>
                <w:szCs w:val="22"/>
              </w:rPr>
            </w:pPr>
            <w:r w:rsidRPr="007044FA">
              <w:rPr>
                <w:rFonts w:ascii="Arial" w:hAnsi="Arial" w:cs="Arial"/>
                <w:szCs w:val="22"/>
              </w:rPr>
              <w:t xml:space="preserve"> Summary of change </w:t>
            </w:r>
          </w:p>
        </w:tc>
        <w:tc>
          <w:tcPr>
            <w:tcW w:w="1701" w:type="dxa"/>
            <w:tcBorders>
              <w:top w:val="single" w:sz="4" w:space="0" w:color="000000"/>
              <w:left w:val="single" w:sz="4" w:space="0" w:color="000000"/>
              <w:bottom w:val="single" w:sz="4" w:space="0" w:color="000000"/>
              <w:right w:val="single" w:sz="4" w:space="0" w:color="000000"/>
            </w:tcBorders>
            <w:shd w:val="clear" w:color="auto" w:fill="C0C0C0"/>
          </w:tcPr>
          <w:p w14:paraId="07F6A4A5" w14:textId="77777777" w:rsidR="00BE757B" w:rsidRPr="007044FA" w:rsidRDefault="00BE757B" w:rsidP="004F1717">
            <w:pPr>
              <w:tabs>
                <w:tab w:val="left" w:pos="36"/>
              </w:tabs>
              <w:ind w:left="36"/>
              <w:rPr>
                <w:rFonts w:ascii="Arial" w:hAnsi="Arial" w:cs="Arial"/>
                <w:szCs w:val="22"/>
              </w:rPr>
            </w:pPr>
            <w:r w:rsidRPr="007044FA">
              <w:rPr>
                <w:rFonts w:ascii="Arial" w:hAnsi="Arial" w:cs="Arial"/>
                <w:szCs w:val="22"/>
              </w:rPr>
              <w:t xml:space="preserve"> Contact </w:t>
            </w:r>
          </w:p>
        </w:tc>
        <w:tc>
          <w:tcPr>
            <w:tcW w:w="2126" w:type="dxa"/>
            <w:tcBorders>
              <w:top w:val="single" w:sz="4" w:space="0" w:color="000000"/>
              <w:left w:val="single" w:sz="4" w:space="0" w:color="000000"/>
              <w:bottom w:val="single" w:sz="4" w:space="0" w:color="000000"/>
              <w:right w:val="single" w:sz="4" w:space="0" w:color="000000"/>
            </w:tcBorders>
            <w:shd w:val="clear" w:color="auto" w:fill="C0C0C0"/>
          </w:tcPr>
          <w:p w14:paraId="07F6A4A6" w14:textId="77777777" w:rsidR="00BE757B" w:rsidRPr="007044FA" w:rsidRDefault="00BE757B" w:rsidP="004F1717">
            <w:pPr>
              <w:tabs>
                <w:tab w:val="left" w:pos="3"/>
              </w:tabs>
              <w:ind w:left="68" w:hanging="65"/>
              <w:rPr>
                <w:rFonts w:ascii="Arial" w:hAnsi="Arial" w:cs="Arial"/>
                <w:szCs w:val="22"/>
              </w:rPr>
            </w:pPr>
            <w:r w:rsidRPr="007044FA">
              <w:rPr>
                <w:rFonts w:ascii="Arial" w:hAnsi="Arial" w:cs="Arial"/>
                <w:szCs w:val="22"/>
              </w:rPr>
              <w:t xml:space="preserve"> Version/ </w:t>
            </w:r>
          </w:p>
          <w:p w14:paraId="07F6A4A7" w14:textId="77777777" w:rsidR="00BE757B" w:rsidRPr="007044FA" w:rsidRDefault="00BE757B" w:rsidP="007044FA">
            <w:pPr>
              <w:tabs>
                <w:tab w:val="left" w:pos="3"/>
              </w:tabs>
              <w:ind w:left="68" w:hanging="65"/>
              <w:rPr>
                <w:rFonts w:ascii="Arial" w:hAnsi="Arial" w:cs="Arial"/>
                <w:szCs w:val="22"/>
              </w:rPr>
            </w:pPr>
            <w:r w:rsidRPr="007044FA">
              <w:rPr>
                <w:rFonts w:ascii="Arial" w:hAnsi="Arial" w:cs="Arial"/>
                <w:szCs w:val="22"/>
              </w:rPr>
              <w:t xml:space="preserve">Implementation Date </w:t>
            </w:r>
          </w:p>
        </w:tc>
        <w:tc>
          <w:tcPr>
            <w:tcW w:w="1379" w:type="dxa"/>
            <w:tcBorders>
              <w:top w:val="single" w:sz="4" w:space="0" w:color="000000"/>
              <w:left w:val="single" w:sz="4" w:space="0" w:color="000000"/>
              <w:bottom w:val="single" w:sz="4" w:space="0" w:color="000000"/>
              <w:right w:val="single" w:sz="4" w:space="0" w:color="000000"/>
            </w:tcBorders>
            <w:shd w:val="clear" w:color="auto" w:fill="C0C0C0"/>
          </w:tcPr>
          <w:p w14:paraId="07F6A4A8" w14:textId="77777777" w:rsidR="00BE757B" w:rsidRPr="007044FA" w:rsidRDefault="00BE757B" w:rsidP="004F1717">
            <w:pPr>
              <w:tabs>
                <w:tab w:val="left" w:pos="0"/>
              </w:tabs>
              <w:ind w:left="36"/>
              <w:rPr>
                <w:rFonts w:ascii="Arial" w:hAnsi="Arial" w:cs="Arial"/>
                <w:szCs w:val="22"/>
              </w:rPr>
            </w:pPr>
            <w:r w:rsidRPr="007044FA">
              <w:rPr>
                <w:rFonts w:ascii="Arial" w:hAnsi="Arial" w:cs="Arial"/>
                <w:szCs w:val="22"/>
              </w:rPr>
              <w:t xml:space="preserve"> Review Date </w:t>
            </w:r>
          </w:p>
        </w:tc>
      </w:tr>
      <w:tr w:rsidR="00BE757B" w:rsidRPr="00F14E90" w14:paraId="07F6A4B0" w14:textId="77777777" w:rsidTr="007044FA">
        <w:trPr>
          <w:trHeight w:val="469"/>
        </w:trPr>
        <w:tc>
          <w:tcPr>
            <w:tcW w:w="1519" w:type="dxa"/>
            <w:tcBorders>
              <w:top w:val="single" w:sz="4" w:space="0" w:color="000000"/>
              <w:left w:val="single" w:sz="4" w:space="0" w:color="000000"/>
              <w:bottom w:val="single" w:sz="4" w:space="0" w:color="000000"/>
              <w:right w:val="single" w:sz="4" w:space="0" w:color="000000"/>
            </w:tcBorders>
            <w:shd w:val="clear" w:color="auto" w:fill="C0C0C0"/>
          </w:tcPr>
          <w:p w14:paraId="07F6A4AA" w14:textId="77777777" w:rsidR="00BE757B" w:rsidRPr="007044FA" w:rsidRDefault="00BE757B" w:rsidP="007044FA">
            <w:pPr>
              <w:tabs>
                <w:tab w:val="left" w:pos="-5"/>
              </w:tabs>
              <w:ind w:hanging="5"/>
              <w:rPr>
                <w:rFonts w:ascii="Arial" w:hAnsi="Arial" w:cs="Arial"/>
                <w:szCs w:val="22"/>
              </w:rPr>
            </w:pPr>
            <w:r w:rsidRPr="007044FA">
              <w:rPr>
                <w:rFonts w:ascii="Arial" w:hAnsi="Arial" w:cs="Arial"/>
                <w:szCs w:val="22"/>
              </w:rPr>
              <w:t xml:space="preserve">October 2018 </w:t>
            </w:r>
          </w:p>
        </w:tc>
        <w:tc>
          <w:tcPr>
            <w:tcW w:w="2977" w:type="dxa"/>
            <w:tcBorders>
              <w:top w:val="single" w:sz="4" w:space="0" w:color="000000"/>
              <w:left w:val="single" w:sz="4" w:space="0" w:color="000000"/>
              <w:bottom w:val="single" w:sz="4" w:space="0" w:color="000000"/>
              <w:right w:val="single" w:sz="4" w:space="0" w:color="000000"/>
            </w:tcBorders>
            <w:shd w:val="clear" w:color="auto" w:fill="C0C0C0"/>
          </w:tcPr>
          <w:p w14:paraId="07F6A4AB" w14:textId="77777777" w:rsidR="00BE757B" w:rsidRPr="007044FA" w:rsidRDefault="00BE757B" w:rsidP="007044FA">
            <w:pPr>
              <w:tabs>
                <w:tab w:val="left" w:pos="0"/>
              </w:tabs>
              <w:rPr>
                <w:rFonts w:ascii="Arial" w:hAnsi="Arial" w:cs="Arial"/>
                <w:szCs w:val="22"/>
              </w:rPr>
            </w:pPr>
            <w:r w:rsidRPr="007044FA">
              <w:rPr>
                <w:rFonts w:ascii="Arial" w:hAnsi="Arial" w:cs="Arial"/>
                <w:szCs w:val="22"/>
              </w:rPr>
              <w:t xml:space="preserve">Changes to redundancy pay </w:t>
            </w:r>
          </w:p>
        </w:tc>
        <w:tc>
          <w:tcPr>
            <w:tcW w:w="1701" w:type="dxa"/>
            <w:tcBorders>
              <w:top w:val="single" w:sz="4" w:space="0" w:color="000000"/>
              <w:left w:val="single" w:sz="4" w:space="0" w:color="000000"/>
              <w:bottom w:val="single" w:sz="4" w:space="0" w:color="000000"/>
              <w:right w:val="single" w:sz="4" w:space="0" w:color="000000"/>
            </w:tcBorders>
            <w:shd w:val="clear" w:color="auto" w:fill="C0C0C0"/>
          </w:tcPr>
          <w:p w14:paraId="07F6A4AC" w14:textId="77777777" w:rsidR="007044FA" w:rsidRPr="007044FA" w:rsidRDefault="00BE757B" w:rsidP="007044FA">
            <w:pPr>
              <w:tabs>
                <w:tab w:val="left" w:pos="36"/>
              </w:tabs>
              <w:ind w:left="36"/>
              <w:rPr>
                <w:rFonts w:ascii="Arial" w:hAnsi="Arial" w:cs="Arial"/>
                <w:szCs w:val="22"/>
              </w:rPr>
            </w:pPr>
            <w:r w:rsidRPr="007044FA">
              <w:rPr>
                <w:rFonts w:ascii="Arial" w:hAnsi="Arial" w:cs="Arial"/>
                <w:szCs w:val="22"/>
              </w:rPr>
              <w:t>J Bevan</w:t>
            </w:r>
            <w:r w:rsidR="007044FA" w:rsidRPr="007044FA">
              <w:rPr>
                <w:rFonts w:ascii="Arial" w:hAnsi="Arial" w:cs="Arial"/>
                <w:szCs w:val="22"/>
              </w:rPr>
              <w:t xml:space="preserve"> </w:t>
            </w:r>
            <w:r w:rsidRPr="007044FA">
              <w:rPr>
                <w:rFonts w:ascii="Arial" w:hAnsi="Arial" w:cs="Arial"/>
                <w:szCs w:val="22"/>
              </w:rPr>
              <w:t xml:space="preserve">/ </w:t>
            </w:r>
          </w:p>
          <w:p w14:paraId="07F6A4AD" w14:textId="77777777" w:rsidR="00BE757B" w:rsidRPr="007044FA" w:rsidRDefault="00BE757B" w:rsidP="007044FA">
            <w:pPr>
              <w:tabs>
                <w:tab w:val="left" w:pos="36"/>
              </w:tabs>
              <w:ind w:left="36"/>
              <w:rPr>
                <w:rFonts w:ascii="Arial" w:hAnsi="Arial" w:cs="Arial"/>
                <w:szCs w:val="22"/>
              </w:rPr>
            </w:pPr>
            <w:r w:rsidRPr="007044FA">
              <w:rPr>
                <w:rFonts w:ascii="Arial" w:hAnsi="Arial" w:cs="Arial"/>
                <w:szCs w:val="22"/>
              </w:rPr>
              <w:t xml:space="preserve">S </w:t>
            </w:r>
            <w:proofErr w:type="spellStart"/>
            <w:r w:rsidRPr="007044FA">
              <w:rPr>
                <w:rFonts w:ascii="Arial" w:hAnsi="Arial" w:cs="Arial"/>
                <w:szCs w:val="22"/>
              </w:rPr>
              <w:t>Holcroft</w:t>
            </w:r>
            <w:proofErr w:type="spellEnd"/>
            <w:r w:rsidRPr="007044FA">
              <w:rPr>
                <w:rFonts w:ascii="Arial" w:hAnsi="Arial" w:cs="Arial"/>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C0C0C0"/>
          </w:tcPr>
          <w:p w14:paraId="07F6A4AE" w14:textId="77777777" w:rsidR="00BE757B" w:rsidRPr="007044FA" w:rsidRDefault="00BE757B" w:rsidP="007044FA">
            <w:pPr>
              <w:tabs>
                <w:tab w:val="left" w:pos="3"/>
              </w:tabs>
              <w:ind w:left="68" w:hanging="65"/>
              <w:rPr>
                <w:rFonts w:ascii="Arial" w:hAnsi="Arial" w:cs="Arial"/>
                <w:szCs w:val="22"/>
              </w:rPr>
            </w:pPr>
            <w:r w:rsidRPr="007044FA">
              <w:rPr>
                <w:rFonts w:ascii="Arial" w:hAnsi="Arial" w:cs="Arial"/>
                <w:szCs w:val="22"/>
              </w:rPr>
              <w:t xml:space="preserve">TBC </w:t>
            </w:r>
          </w:p>
        </w:tc>
        <w:tc>
          <w:tcPr>
            <w:tcW w:w="1379" w:type="dxa"/>
            <w:tcBorders>
              <w:top w:val="single" w:sz="4" w:space="0" w:color="000000"/>
              <w:left w:val="single" w:sz="4" w:space="0" w:color="000000"/>
              <w:bottom w:val="single" w:sz="4" w:space="0" w:color="000000"/>
              <w:right w:val="single" w:sz="4" w:space="0" w:color="000000"/>
            </w:tcBorders>
            <w:shd w:val="clear" w:color="auto" w:fill="C0C0C0"/>
          </w:tcPr>
          <w:p w14:paraId="07F6A4AF" w14:textId="77777777" w:rsidR="00BE757B" w:rsidRPr="007044FA" w:rsidRDefault="00BE757B" w:rsidP="007044FA">
            <w:pPr>
              <w:tabs>
                <w:tab w:val="left" w:pos="0"/>
              </w:tabs>
              <w:ind w:left="36"/>
              <w:rPr>
                <w:rFonts w:ascii="Arial" w:hAnsi="Arial" w:cs="Arial"/>
                <w:szCs w:val="22"/>
              </w:rPr>
            </w:pPr>
            <w:r w:rsidRPr="007044FA">
              <w:rPr>
                <w:rFonts w:ascii="Arial" w:hAnsi="Arial" w:cs="Arial"/>
                <w:szCs w:val="22"/>
              </w:rPr>
              <w:t xml:space="preserve">October 2019 </w:t>
            </w:r>
          </w:p>
        </w:tc>
      </w:tr>
      <w:tr w:rsidR="00BE757B" w:rsidRPr="00F14E90" w14:paraId="07F6A4B7" w14:textId="77777777" w:rsidTr="004F1717">
        <w:trPr>
          <w:trHeight w:val="470"/>
        </w:trPr>
        <w:tc>
          <w:tcPr>
            <w:tcW w:w="1519" w:type="dxa"/>
            <w:tcBorders>
              <w:top w:val="single" w:sz="4" w:space="0" w:color="000000"/>
              <w:left w:val="single" w:sz="4" w:space="0" w:color="000000"/>
              <w:bottom w:val="single" w:sz="4" w:space="0" w:color="000000"/>
              <w:right w:val="single" w:sz="4" w:space="0" w:color="000000"/>
            </w:tcBorders>
            <w:shd w:val="clear" w:color="auto" w:fill="C0C0C0"/>
          </w:tcPr>
          <w:p w14:paraId="07F6A4B1" w14:textId="77777777" w:rsidR="00BE757B" w:rsidRPr="007044FA" w:rsidRDefault="00BE757B" w:rsidP="007044FA">
            <w:pPr>
              <w:tabs>
                <w:tab w:val="left" w:pos="-5"/>
              </w:tabs>
              <w:ind w:hanging="5"/>
              <w:rPr>
                <w:rFonts w:ascii="Arial" w:hAnsi="Arial" w:cs="Arial"/>
                <w:szCs w:val="22"/>
              </w:rPr>
            </w:pPr>
            <w:r w:rsidRPr="007044FA">
              <w:rPr>
                <w:rFonts w:ascii="Arial" w:hAnsi="Arial" w:cs="Arial"/>
                <w:szCs w:val="22"/>
              </w:rPr>
              <w:t xml:space="preserve"> </w:t>
            </w:r>
          </w:p>
        </w:tc>
        <w:tc>
          <w:tcPr>
            <w:tcW w:w="2977" w:type="dxa"/>
            <w:tcBorders>
              <w:top w:val="single" w:sz="4" w:space="0" w:color="000000"/>
              <w:left w:val="single" w:sz="4" w:space="0" w:color="000000"/>
              <w:bottom w:val="single" w:sz="4" w:space="0" w:color="auto"/>
              <w:right w:val="single" w:sz="4" w:space="0" w:color="000000"/>
            </w:tcBorders>
            <w:shd w:val="clear" w:color="auto" w:fill="C0C0C0"/>
          </w:tcPr>
          <w:p w14:paraId="07F6A4B2" w14:textId="77777777" w:rsidR="00BE757B" w:rsidRPr="007044FA" w:rsidRDefault="00BE757B" w:rsidP="007044FA">
            <w:pPr>
              <w:tabs>
                <w:tab w:val="left" w:pos="0"/>
              </w:tabs>
              <w:rPr>
                <w:rFonts w:ascii="Arial" w:hAnsi="Arial" w:cs="Arial"/>
                <w:szCs w:val="22"/>
              </w:rPr>
            </w:pPr>
            <w:r w:rsidRPr="007044FA">
              <w:rPr>
                <w:rFonts w:ascii="Arial" w:hAnsi="Arial" w:cs="Arial"/>
                <w:szCs w:val="22"/>
              </w:rPr>
              <w:t xml:space="preserve"> </w:t>
            </w:r>
          </w:p>
          <w:p w14:paraId="07F6A4B3" w14:textId="77777777" w:rsidR="00BE757B" w:rsidRPr="007044FA" w:rsidRDefault="00BE757B" w:rsidP="007044FA">
            <w:pPr>
              <w:tabs>
                <w:tab w:val="left" w:pos="0"/>
              </w:tabs>
              <w:rPr>
                <w:rFonts w:ascii="Arial" w:hAnsi="Arial" w:cs="Arial"/>
                <w:szCs w:val="22"/>
              </w:rPr>
            </w:pPr>
            <w:r w:rsidRPr="007044FA">
              <w:rPr>
                <w:rFonts w:ascii="Arial" w:hAnsi="Arial"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C0C0C0"/>
          </w:tcPr>
          <w:p w14:paraId="07F6A4B4" w14:textId="77777777" w:rsidR="00BE757B" w:rsidRPr="007044FA" w:rsidRDefault="00BE757B" w:rsidP="007044FA">
            <w:pPr>
              <w:tabs>
                <w:tab w:val="left" w:pos="36"/>
              </w:tabs>
              <w:ind w:left="36"/>
              <w:rPr>
                <w:rFonts w:ascii="Arial" w:hAnsi="Arial" w:cs="Arial"/>
                <w:szCs w:val="22"/>
              </w:rPr>
            </w:pPr>
            <w:r w:rsidRPr="007044FA">
              <w:rPr>
                <w:rFonts w:ascii="Arial" w:hAnsi="Arial" w:cs="Arial"/>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C0C0C0"/>
          </w:tcPr>
          <w:p w14:paraId="07F6A4B5" w14:textId="77777777" w:rsidR="00BE757B" w:rsidRPr="007044FA" w:rsidRDefault="00BE757B" w:rsidP="007044FA">
            <w:pPr>
              <w:tabs>
                <w:tab w:val="left" w:pos="3"/>
              </w:tabs>
              <w:ind w:left="68" w:hanging="65"/>
              <w:rPr>
                <w:rFonts w:ascii="Arial" w:hAnsi="Arial" w:cs="Arial"/>
                <w:szCs w:val="22"/>
              </w:rPr>
            </w:pPr>
            <w:r w:rsidRPr="007044FA">
              <w:rPr>
                <w:rFonts w:ascii="Arial" w:hAnsi="Arial" w:cs="Arial"/>
                <w:szCs w:val="22"/>
              </w:rPr>
              <w:t xml:space="preserve"> </w:t>
            </w:r>
          </w:p>
        </w:tc>
        <w:tc>
          <w:tcPr>
            <w:tcW w:w="1379" w:type="dxa"/>
            <w:tcBorders>
              <w:top w:val="single" w:sz="4" w:space="0" w:color="000000"/>
              <w:left w:val="single" w:sz="4" w:space="0" w:color="000000"/>
              <w:bottom w:val="single" w:sz="4" w:space="0" w:color="000000"/>
              <w:right w:val="single" w:sz="4" w:space="0" w:color="000000"/>
            </w:tcBorders>
            <w:shd w:val="clear" w:color="auto" w:fill="C0C0C0"/>
          </w:tcPr>
          <w:p w14:paraId="07F6A4B6" w14:textId="77777777" w:rsidR="00BE757B" w:rsidRPr="007044FA" w:rsidRDefault="00BE757B" w:rsidP="007044FA">
            <w:pPr>
              <w:tabs>
                <w:tab w:val="left" w:pos="0"/>
              </w:tabs>
              <w:ind w:left="36"/>
              <w:rPr>
                <w:rFonts w:ascii="Arial" w:hAnsi="Arial" w:cs="Arial"/>
                <w:szCs w:val="22"/>
              </w:rPr>
            </w:pPr>
            <w:r w:rsidRPr="007044FA">
              <w:rPr>
                <w:rFonts w:ascii="Arial" w:hAnsi="Arial" w:cs="Arial"/>
                <w:szCs w:val="22"/>
              </w:rPr>
              <w:t xml:space="preserve"> </w:t>
            </w:r>
          </w:p>
        </w:tc>
      </w:tr>
      <w:tr w:rsidR="00BE757B" w:rsidRPr="00F14E90" w14:paraId="07F6A4BE" w14:textId="77777777" w:rsidTr="004F1717">
        <w:trPr>
          <w:trHeight w:val="470"/>
        </w:trPr>
        <w:tc>
          <w:tcPr>
            <w:tcW w:w="1519" w:type="dxa"/>
            <w:tcBorders>
              <w:top w:val="single" w:sz="4" w:space="0" w:color="000000"/>
              <w:left w:val="single" w:sz="4" w:space="0" w:color="000000"/>
              <w:bottom w:val="single" w:sz="4" w:space="0" w:color="000000"/>
              <w:right w:val="single" w:sz="4" w:space="0" w:color="000000"/>
            </w:tcBorders>
            <w:shd w:val="clear" w:color="auto" w:fill="C0C0C0"/>
          </w:tcPr>
          <w:p w14:paraId="07F6A4B8" w14:textId="77777777" w:rsidR="00BE757B" w:rsidRPr="007044FA" w:rsidRDefault="00BE757B" w:rsidP="007044FA">
            <w:pPr>
              <w:tabs>
                <w:tab w:val="left" w:pos="-5"/>
              </w:tabs>
              <w:ind w:hanging="5"/>
              <w:rPr>
                <w:rFonts w:ascii="Arial" w:hAnsi="Arial" w:cs="Arial"/>
                <w:szCs w:val="22"/>
              </w:rPr>
            </w:pPr>
            <w:r w:rsidRPr="007044FA">
              <w:rPr>
                <w:rFonts w:ascii="Arial" w:hAnsi="Arial" w:cs="Arial"/>
                <w:szCs w:val="22"/>
              </w:rPr>
              <w:t xml:space="preserve"> </w:t>
            </w:r>
          </w:p>
        </w:tc>
        <w:tc>
          <w:tcPr>
            <w:tcW w:w="2977" w:type="dxa"/>
            <w:tcBorders>
              <w:top w:val="single" w:sz="4" w:space="0" w:color="auto"/>
              <w:left w:val="single" w:sz="4" w:space="0" w:color="000000"/>
              <w:bottom w:val="single" w:sz="4" w:space="0" w:color="000000"/>
              <w:right w:val="single" w:sz="4" w:space="0" w:color="000000"/>
            </w:tcBorders>
            <w:shd w:val="clear" w:color="auto" w:fill="C0C0C0"/>
          </w:tcPr>
          <w:p w14:paraId="07F6A4B9" w14:textId="77777777" w:rsidR="00BE757B" w:rsidRPr="007044FA" w:rsidRDefault="00BE757B" w:rsidP="007044FA">
            <w:pPr>
              <w:tabs>
                <w:tab w:val="left" w:pos="0"/>
              </w:tabs>
              <w:rPr>
                <w:rFonts w:ascii="Arial" w:hAnsi="Arial" w:cs="Arial"/>
                <w:szCs w:val="22"/>
              </w:rPr>
            </w:pPr>
            <w:r w:rsidRPr="007044FA">
              <w:rPr>
                <w:rFonts w:ascii="Arial" w:hAnsi="Arial" w:cs="Arial"/>
                <w:szCs w:val="22"/>
              </w:rPr>
              <w:t xml:space="preserve"> </w:t>
            </w:r>
          </w:p>
          <w:p w14:paraId="07F6A4BA" w14:textId="77777777" w:rsidR="00BE757B" w:rsidRPr="007044FA" w:rsidRDefault="00BE757B" w:rsidP="007044FA">
            <w:pPr>
              <w:tabs>
                <w:tab w:val="left" w:pos="0"/>
              </w:tabs>
              <w:rPr>
                <w:rFonts w:ascii="Arial" w:hAnsi="Arial" w:cs="Arial"/>
                <w:szCs w:val="22"/>
              </w:rPr>
            </w:pPr>
            <w:r w:rsidRPr="007044FA">
              <w:rPr>
                <w:rFonts w:ascii="Arial" w:hAnsi="Arial"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C0C0C0"/>
          </w:tcPr>
          <w:p w14:paraId="07F6A4BB" w14:textId="77777777" w:rsidR="00BE757B" w:rsidRPr="007044FA" w:rsidRDefault="00BE757B" w:rsidP="007044FA">
            <w:pPr>
              <w:tabs>
                <w:tab w:val="left" w:pos="36"/>
              </w:tabs>
              <w:ind w:left="36"/>
              <w:rPr>
                <w:rFonts w:ascii="Arial" w:hAnsi="Arial" w:cs="Arial"/>
                <w:szCs w:val="22"/>
              </w:rPr>
            </w:pPr>
            <w:r w:rsidRPr="007044FA">
              <w:rPr>
                <w:rFonts w:ascii="Arial" w:hAnsi="Arial" w:cs="Arial"/>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C0C0C0"/>
          </w:tcPr>
          <w:p w14:paraId="07F6A4BC" w14:textId="77777777" w:rsidR="00BE757B" w:rsidRPr="007044FA" w:rsidRDefault="00BE757B" w:rsidP="007044FA">
            <w:pPr>
              <w:tabs>
                <w:tab w:val="left" w:pos="3"/>
              </w:tabs>
              <w:ind w:left="68" w:hanging="65"/>
              <w:rPr>
                <w:rFonts w:ascii="Arial" w:hAnsi="Arial" w:cs="Arial"/>
                <w:szCs w:val="22"/>
              </w:rPr>
            </w:pPr>
            <w:r w:rsidRPr="007044FA">
              <w:rPr>
                <w:rFonts w:ascii="Arial" w:hAnsi="Arial" w:cs="Arial"/>
                <w:szCs w:val="22"/>
              </w:rPr>
              <w:t xml:space="preserve"> </w:t>
            </w:r>
          </w:p>
        </w:tc>
        <w:tc>
          <w:tcPr>
            <w:tcW w:w="1379" w:type="dxa"/>
            <w:tcBorders>
              <w:top w:val="single" w:sz="4" w:space="0" w:color="000000"/>
              <w:left w:val="single" w:sz="4" w:space="0" w:color="000000"/>
              <w:bottom w:val="single" w:sz="4" w:space="0" w:color="000000"/>
              <w:right w:val="single" w:sz="4" w:space="0" w:color="000000"/>
            </w:tcBorders>
            <w:shd w:val="clear" w:color="auto" w:fill="C0C0C0"/>
          </w:tcPr>
          <w:p w14:paraId="07F6A4BD" w14:textId="77777777" w:rsidR="00BE757B" w:rsidRPr="007044FA" w:rsidRDefault="00BE757B" w:rsidP="007044FA">
            <w:pPr>
              <w:tabs>
                <w:tab w:val="left" w:pos="0"/>
              </w:tabs>
              <w:ind w:left="36"/>
              <w:rPr>
                <w:rFonts w:ascii="Arial" w:hAnsi="Arial" w:cs="Arial"/>
                <w:szCs w:val="22"/>
              </w:rPr>
            </w:pPr>
            <w:r w:rsidRPr="007044FA">
              <w:rPr>
                <w:rFonts w:ascii="Arial" w:hAnsi="Arial" w:cs="Arial"/>
                <w:szCs w:val="22"/>
              </w:rPr>
              <w:t xml:space="preserve"> </w:t>
            </w:r>
          </w:p>
        </w:tc>
      </w:tr>
      <w:tr w:rsidR="00BE757B" w:rsidRPr="00F14E90" w14:paraId="07F6A4C5" w14:textId="77777777" w:rsidTr="007044FA">
        <w:trPr>
          <w:trHeight w:val="470"/>
        </w:trPr>
        <w:tc>
          <w:tcPr>
            <w:tcW w:w="1519" w:type="dxa"/>
            <w:tcBorders>
              <w:top w:val="single" w:sz="4" w:space="0" w:color="000000"/>
              <w:left w:val="single" w:sz="4" w:space="0" w:color="000000"/>
              <w:bottom w:val="single" w:sz="4" w:space="0" w:color="000000"/>
              <w:right w:val="single" w:sz="4" w:space="0" w:color="000000"/>
            </w:tcBorders>
            <w:shd w:val="clear" w:color="auto" w:fill="C0C0C0"/>
          </w:tcPr>
          <w:p w14:paraId="07F6A4BF" w14:textId="77777777" w:rsidR="00BE757B" w:rsidRPr="007044FA" w:rsidRDefault="00BE757B" w:rsidP="007044FA">
            <w:pPr>
              <w:tabs>
                <w:tab w:val="left" w:pos="-5"/>
              </w:tabs>
              <w:ind w:hanging="5"/>
              <w:rPr>
                <w:rFonts w:ascii="Arial" w:hAnsi="Arial" w:cs="Arial"/>
                <w:szCs w:val="22"/>
              </w:rPr>
            </w:pPr>
            <w:r w:rsidRPr="007044FA">
              <w:rPr>
                <w:rFonts w:ascii="Arial" w:hAnsi="Arial" w:cs="Arial"/>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C0C0C0"/>
          </w:tcPr>
          <w:p w14:paraId="07F6A4C0" w14:textId="77777777" w:rsidR="00BE757B" w:rsidRPr="007044FA" w:rsidRDefault="00BE757B" w:rsidP="007044FA">
            <w:pPr>
              <w:tabs>
                <w:tab w:val="left" w:pos="0"/>
              </w:tabs>
              <w:rPr>
                <w:rFonts w:ascii="Arial" w:hAnsi="Arial" w:cs="Arial"/>
                <w:szCs w:val="22"/>
              </w:rPr>
            </w:pPr>
            <w:r w:rsidRPr="007044FA">
              <w:rPr>
                <w:rFonts w:ascii="Arial" w:hAnsi="Arial" w:cs="Arial"/>
                <w:szCs w:val="22"/>
              </w:rPr>
              <w:t xml:space="preserve"> </w:t>
            </w:r>
          </w:p>
          <w:p w14:paraId="07F6A4C1" w14:textId="77777777" w:rsidR="00BE757B" w:rsidRPr="007044FA" w:rsidRDefault="00BE757B" w:rsidP="007044FA">
            <w:pPr>
              <w:tabs>
                <w:tab w:val="left" w:pos="0"/>
              </w:tabs>
              <w:rPr>
                <w:rFonts w:ascii="Arial" w:hAnsi="Arial" w:cs="Arial"/>
                <w:szCs w:val="22"/>
              </w:rPr>
            </w:pPr>
            <w:r w:rsidRPr="007044FA">
              <w:rPr>
                <w:rFonts w:ascii="Arial" w:hAnsi="Arial"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C0C0C0"/>
          </w:tcPr>
          <w:p w14:paraId="07F6A4C2" w14:textId="77777777" w:rsidR="00BE757B" w:rsidRPr="007044FA" w:rsidRDefault="00BE757B" w:rsidP="007044FA">
            <w:pPr>
              <w:tabs>
                <w:tab w:val="left" w:pos="36"/>
              </w:tabs>
              <w:ind w:left="36"/>
              <w:rPr>
                <w:rFonts w:ascii="Arial" w:hAnsi="Arial" w:cs="Arial"/>
                <w:szCs w:val="22"/>
              </w:rPr>
            </w:pPr>
            <w:r w:rsidRPr="007044FA">
              <w:rPr>
                <w:rFonts w:ascii="Arial" w:hAnsi="Arial" w:cs="Arial"/>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C0C0C0"/>
          </w:tcPr>
          <w:p w14:paraId="07F6A4C3" w14:textId="77777777" w:rsidR="00BE757B" w:rsidRPr="007044FA" w:rsidRDefault="00BE757B" w:rsidP="007044FA">
            <w:pPr>
              <w:tabs>
                <w:tab w:val="left" w:pos="3"/>
              </w:tabs>
              <w:ind w:left="68" w:hanging="65"/>
              <w:rPr>
                <w:rFonts w:ascii="Arial" w:hAnsi="Arial" w:cs="Arial"/>
                <w:szCs w:val="22"/>
              </w:rPr>
            </w:pPr>
            <w:r w:rsidRPr="007044FA">
              <w:rPr>
                <w:rFonts w:ascii="Arial" w:hAnsi="Arial" w:cs="Arial"/>
                <w:szCs w:val="22"/>
              </w:rPr>
              <w:t xml:space="preserve"> </w:t>
            </w:r>
          </w:p>
        </w:tc>
        <w:tc>
          <w:tcPr>
            <w:tcW w:w="1379" w:type="dxa"/>
            <w:tcBorders>
              <w:top w:val="single" w:sz="4" w:space="0" w:color="000000"/>
              <w:left w:val="single" w:sz="4" w:space="0" w:color="000000"/>
              <w:bottom w:val="single" w:sz="4" w:space="0" w:color="000000"/>
              <w:right w:val="single" w:sz="4" w:space="0" w:color="000000"/>
            </w:tcBorders>
            <w:shd w:val="clear" w:color="auto" w:fill="C0C0C0"/>
          </w:tcPr>
          <w:p w14:paraId="07F6A4C4" w14:textId="77777777" w:rsidR="00BE757B" w:rsidRPr="007044FA" w:rsidRDefault="00BE757B" w:rsidP="007044FA">
            <w:pPr>
              <w:tabs>
                <w:tab w:val="left" w:pos="0"/>
              </w:tabs>
              <w:ind w:left="36"/>
              <w:rPr>
                <w:rFonts w:ascii="Arial" w:hAnsi="Arial" w:cs="Arial"/>
                <w:szCs w:val="22"/>
              </w:rPr>
            </w:pPr>
            <w:r w:rsidRPr="007044FA">
              <w:rPr>
                <w:rFonts w:ascii="Arial" w:hAnsi="Arial" w:cs="Arial"/>
                <w:szCs w:val="22"/>
              </w:rPr>
              <w:t xml:space="preserve"> </w:t>
            </w:r>
          </w:p>
        </w:tc>
      </w:tr>
      <w:tr w:rsidR="00BE757B" w:rsidRPr="00F14E90" w14:paraId="07F6A4CC" w14:textId="77777777" w:rsidTr="007044FA">
        <w:trPr>
          <w:trHeight w:val="469"/>
        </w:trPr>
        <w:tc>
          <w:tcPr>
            <w:tcW w:w="1519" w:type="dxa"/>
            <w:tcBorders>
              <w:top w:val="single" w:sz="4" w:space="0" w:color="000000"/>
              <w:left w:val="single" w:sz="4" w:space="0" w:color="000000"/>
              <w:bottom w:val="single" w:sz="4" w:space="0" w:color="000000"/>
              <w:right w:val="single" w:sz="4" w:space="0" w:color="000000"/>
            </w:tcBorders>
            <w:shd w:val="clear" w:color="auto" w:fill="C0C0C0"/>
          </w:tcPr>
          <w:p w14:paraId="07F6A4C6" w14:textId="77777777" w:rsidR="00BE757B" w:rsidRPr="007044FA" w:rsidRDefault="00BE757B" w:rsidP="007044FA">
            <w:pPr>
              <w:tabs>
                <w:tab w:val="left" w:pos="-5"/>
              </w:tabs>
              <w:ind w:hanging="5"/>
              <w:rPr>
                <w:rFonts w:ascii="Arial" w:hAnsi="Arial" w:cs="Arial"/>
                <w:szCs w:val="22"/>
              </w:rPr>
            </w:pPr>
            <w:r w:rsidRPr="007044FA">
              <w:rPr>
                <w:rFonts w:ascii="Arial" w:hAnsi="Arial" w:cs="Arial"/>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C0C0C0"/>
          </w:tcPr>
          <w:p w14:paraId="07F6A4C7" w14:textId="77777777" w:rsidR="00BE757B" w:rsidRPr="007044FA" w:rsidRDefault="00BE757B" w:rsidP="007044FA">
            <w:pPr>
              <w:tabs>
                <w:tab w:val="left" w:pos="0"/>
              </w:tabs>
              <w:rPr>
                <w:rFonts w:ascii="Arial" w:hAnsi="Arial" w:cs="Arial"/>
                <w:szCs w:val="22"/>
              </w:rPr>
            </w:pPr>
            <w:r w:rsidRPr="007044FA">
              <w:rPr>
                <w:rFonts w:ascii="Arial" w:hAnsi="Arial" w:cs="Arial"/>
                <w:szCs w:val="22"/>
              </w:rPr>
              <w:t xml:space="preserve"> </w:t>
            </w:r>
          </w:p>
          <w:p w14:paraId="07F6A4C8" w14:textId="77777777" w:rsidR="00BE757B" w:rsidRPr="007044FA" w:rsidRDefault="00BE757B" w:rsidP="007044FA">
            <w:pPr>
              <w:tabs>
                <w:tab w:val="left" w:pos="0"/>
              </w:tabs>
              <w:rPr>
                <w:rFonts w:ascii="Arial" w:hAnsi="Arial" w:cs="Arial"/>
                <w:szCs w:val="22"/>
              </w:rPr>
            </w:pPr>
            <w:r w:rsidRPr="007044FA">
              <w:rPr>
                <w:rFonts w:ascii="Arial" w:hAnsi="Arial"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C0C0C0"/>
          </w:tcPr>
          <w:p w14:paraId="07F6A4C9" w14:textId="77777777" w:rsidR="00BE757B" w:rsidRPr="007044FA" w:rsidRDefault="00BE757B" w:rsidP="007044FA">
            <w:pPr>
              <w:tabs>
                <w:tab w:val="left" w:pos="36"/>
              </w:tabs>
              <w:ind w:left="36"/>
              <w:rPr>
                <w:rFonts w:ascii="Arial" w:hAnsi="Arial" w:cs="Arial"/>
                <w:szCs w:val="22"/>
              </w:rPr>
            </w:pPr>
            <w:r w:rsidRPr="007044FA">
              <w:rPr>
                <w:rFonts w:ascii="Arial" w:hAnsi="Arial" w:cs="Arial"/>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C0C0C0"/>
          </w:tcPr>
          <w:p w14:paraId="07F6A4CA" w14:textId="77777777" w:rsidR="00BE757B" w:rsidRPr="007044FA" w:rsidRDefault="00BE757B" w:rsidP="007044FA">
            <w:pPr>
              <w:tabs>
                <w:tab w:val="left" w:pos="3"/>
              </w:tabs>
              <w:ind w:left="68" w:hanging="65"/>
              <w:rPr>
                <w:rFonts w:ascii="Arial" w:hAnsi="Arial" w:cs="Arial"/>
                <w:szCs w:val="22"/>
              </w:rPr>
            </w:pPr>
            <w:r w:rsidRPr="007044FA">
              <w:rPr>
                <w:rFonts w:ascii="Arial" w:hAnsi="Arial" w:cs="Arial"/>
                <w:szCs w:val="22"/>
              </w:rPr>
              <w:t xml:space="preserve"> </w:t>
            </w:r>
          </w:p>
        </w:tc>
        <w:tc>
          <w:tcPr>
            <w:tcW w:w="1379" w:type="dxa"/>
            <w:tcBorders>
              <w:top w:val="single" w:sz="4" w:space="0" w:color="000000"/>
              <w:left w:val="single" w:sz="4" w:space="0" w:color="000000"/>
              <w:bottom w:val="single" w:sz="4" w:space="0" w:color="000000"/>
              <w:right w:val="single" w:sz="4" w:space="0" w:color="000000"/>
            </w:tcBorders>
            <w:shd w:val="clear" w:color="auto" w:fill="C0C0C0"/>
          </w:tcPr>
          <w:p w14:paraId="07F6A4CB" w14:textId="77777777" w:rsidR="00BE757B" w:rsidRPr="007044FA" w:rsidRDefault="00BE757B" w:rsidP="007044FA">
            <w:pPr>
              <w:tabs>
                <w:tab w:val="left" w:pos="0"/>
              </w:tabs>
              <w:ind w:left="36"/>
              <w:rPr>
                <w:rFonts w:ascii="Arial" w:hAnsi="Arial" w:cs="Arial"/>
                <w:szCs w:val="22"/>
              </w:rPr>
            </w:pPr>
            <w:r w:rsidRPr="007044FA">
              <w:rPr>
                <w:rFonts w:ascii="Arial" w:hAnsi="Arial" w:cs="Arial"/>
                <w:szCs w:val="22"/>
              </w:rPr>
              <w:t xml:space="preserve"> </w:t>
            </w:r>
          </w:p>
        </w:tc>
      </w:tr>
    </w:tbl>
    <w:p w14:paraId="07F6A4CD" w14:textId="77777777" w:rsidR="00BE757B" w:rsidRPr="00F14E90" w:rsidRDefault="00BE757B" w:rsidP="00F14E90">
      <w:pPr>
        <w:tabs>
          <w:tab w:val="left" w:pos="284"/>
        </w:tabs>
        <w:ind w:left="284" w:hanging="568"/>
        <w:rPr>
          <w:rFonts w:ascii="Arial" w:hAnsi="Arial" w:cs="Arial"/>
          <w:sz w:val="22"/>
          <w:szCs w:val="22"/>
        </w:rPr>
      </w:pPr>
      <w:r w:rsidRPr="00F14E90">
        <w:rPr>
          <w:rFonts w:ascii="Arial" w:hAnsi="Arial" w:cs="Arial"/>
          <w:sz w:val="22"/>
          <w:szCs w:val="22"/>
        </w:rPr>
        <w:t xml:space="preserve"> </w:t>
      </w:r>
    </w:p>
    <w:p w14:paraId="07F6A4CE" w14:textId="77777777" w:rsidR="00BE757B" w:rsidRDefault="00BE757B" w:rsidP="007044FA">
      <w:pPr>
        <w:tabs>
          <w:tab w:val="left" w:pos="284"/>
        </w:tabs>
        <w:ind w:left="284" w:hanging="568"/>
      </w:pPr>
      <w:r w:rsidRPr="00F14E90">
        <w:rPr>
          <w:rFonts w:ascii="Arial" w:hAnsi="Arial" w:cs="Arial"/>
          <w:sz w:val="22"/>
          <w:szCs w:val="22"/>
        </w:rPr>
        <w:t xml:space="preserve"> </w:t>
      </w:r>
    </w:p>
    <w:p w14:paraId="07F6A4CF" w14:textId="77777777" w:rsidR="00BE757B" w:rsidRDefault="00BE757B" w:rsidP="00F14E90">
      <w:pPr>
        <w:ind w:right="307"/>
        <w:jc w:val="right"/>
      </w:pPr>
      <w:r>
        <w:rPr>
          <w:rFonts w:ascii="Arial" w:eastAsia="Arial" w:hAnsi="Arial" w:cs="Arial"/>
          <w:b/>
        </w:rPr>
        <w:t xml:space="preserve"> </w:t>
      </w:r>
    </w:p>
    <w:p w14:paraId="07F6A4D0" w14:textId="77777777" w:rsidR="007044FA" w:rsidRDefault="007044FA">
      <w:pPr>
        <w:suppressAutoHyphens w:val="0"/>
        <w:spacing w:after="160" w:line="259" w:lineRule="auto"/>
        <w:rPr>
          <w:rFonts w:ascii="Arial" w:eastAsia="Arial" w:hAnsi="Arial" w:cs="Arial"/>
          <w:b/>
        </w:rPr>
      </w:pPr>
      <w:r>
        <w:rPr>
          <w:rFonts w:ascii="Arial" w:eastAsia="Arial" w:hAnsi="Arial" w:cs="Arial"/>
          <w:b/>
        </w:rPr>
        <w:br w:type="page"/>
      </w:r>
    </w:p>
    <w:p w14:paraId="07F6A4D1" w14:textId="77777777" w:rsidR="00BE757B" w:rsidRPr="007044FA" w:rsidRDefault="00BE757B" w:rsidP="007044FA">
      <w:pPr>
        <w:ind w:right="362"/>
        <w:jc w:val="center"/>
        <w:rPr>
          <w:sz w:val="24"/>
        </w:rPr>
      </w:pPr>
      <w:r w:rsidRPr="007044FA">
        <w:rPr>
          <w:rFonts w:ascii="Arial" w:eastAsia="Arial" w:hAnsi="Arial" w:cs="Arial"/>
          <w:b/>
          <w:sz w:val="24"/>
        </w:rPr>
        <w:lastRenderedPageBreak/>
        <w:t>Appendix A</w:t>
      </w:r>
    </w:p>
    <w:p w14:paraId="07F6A4D2" w14:textId="77777777" w:rsidR="00BE757B" w:rsidRPr="007044FA" w:rsidRDefault="00BE757B" w:rsidP="007044FA">
      <w:pPr>
        <w:ind w:right="307"/>
        <w:jc w:val="center"/>
        <w:rPr>
          <w:sz w:val="24"/>
        </w:rPr>
      </w:pPr>
    </w:p>
    <w:p w14:paraId="07F6A4D3" w14:textId="77777777" w:rsidR="00BE757B" w:rsidRDefault="00BE757B" w:rsidP="007044FA">
      <w:pPr>
        <w:ind w:right="379"/>
        <w:jc w:val="center"/>
        <w:rPr>
          <w:rFonts w:ascii="Arial" w:eastAsia="Arial" w:hAnsi="Arial" w:cs="Arial"/>
          <w:b/>
          <w:sz w:val="24"/>
        </w:rPr>
      </w:pPr>
      <w:r w:rsidRPr="007044FA">
        <w:rPr>
          <w:rFonts w:ascii="Arial" w:eastAsia="Arial" w:hAnsi="Arial" w:cs="Arial"/>
          <w:b/>
          <w:sz w:val="24"/>
        </w:rPr>
        <w:t>Statutory Redundancy Table</w:t>
      </w:r>
    </w:p>
    <w:p w14:paraId="07F6A4D4" w14:textId="77777777" w:rsidR="007044FA" w:rsidRPr="007044FA" w:rsidRDefault="007044FA" w:rsidP="007044FA">
      <w:pPr>
        <w:ind w:right="379"/>
        <w:jc w:val="center"/>
        <w:rPr>
          <w:sz w:val="24"/>
        </w:rPr>
      </w:pPr>
    </w:p>
    <w:p w14:paraId="07F6A4D5" w14:textId="77777777" w:rsidR="00BE757B" w:rsidRDefault="00BE757B" w:rsidP="00F14E90">
      <w:pPr>
        <w:jc w:val="right"/>
      </w:pPr>
      <w:r>
        <w:rPr>
          <w:noProof/>
        </w:rPr>
        <w:drawing>
          <wp:inline distT="0" distB="0" distL="0" distR="0" wp14:anchorId="07F6A52A" wp14:editId="79C59694">
            <wp:extent cx="6315075" cy="7338060"/>
            <wp:effectExtent l="0" t="0" r="9525" b="0"/>
            <wp:docPr id="2500" name="Picture 2500"/>
            <wp:cNvGraphicFramePr/>
            <a:graphic xmlns:a="http://schemas.openxmlformats.org/drawingml/2006/main">
              <a:graphicData uri="http://schemas.openxmlformats.org/drawingml/2006/picture">
                <pic:pic xmlns:pic="http://schemas.openxmlformats.org/drawingml/2006/picture">
                  <pic:nvPicPr>
                    <pic:cNvPr id="2500" name="Picture 2500"/>
                    <pic:cNvPicPr/>
                  </pic:nvPicPr>
                  <pic:blipFill>
                    <a:blip r:embed="rId23"/>
                    <a:stretch>
                      <a:fillRect/>
                    </a:stretch>
                  </pic:blipFill>
                  <pic:spPr>
                    <a:xfrm>
                      <a:off x="0" y="0"/>
                      <a:ext cx="6315075" cy="7338060"/>
                    </a:xfrm>
                    <a:prstGeom prst="rect">
                      <a:avLst/>
                    </a:prstGeom>
                  </pic:spPr>
                </pic:pic>
              </a:graphicData>
            </a:graphic>
          </wp:inline>
        </w:drawing>
      </w:r>
      <w:r>
        <w:rPr>
          <w:rFonts w:ascii="Arial" w:eastAsia="Arial" w:hAnsi="Arial" w:cs="Arial"/>
          <w:b/>
        </w:rPr>
        <w:t xml:space="preserve"> </w:t>
      </w:r>
    </w:p>
    <w:p w14:paraId="07F6A4D6" w14:textId="77777777" w:rsidR="00BE757B" w:rsidRDefault="00BE757B" w:rsidP="00F14E90">
      <w:r>
        <w:t xml:space="preserve"> </w:t>
      </w:r>
    </w:p>
    <w:p w14:paraId="07F6A4D7" w14:textId="77777777" w:rsidR="00BE757B" w:rsidRDefault="00BE757B" w:rsidP="00F14E90">
      <w:r>
        <w:t xml:space="preserve"> </w:t>
      </w:r>
    </w:p>
    <w:p w14:paraId="07F6A4D8" w14:textId="77777777" w:rsidR="00BE757B" w:rsidRDefault="00BE757B" w:rsidP="00F14E90">
      <w:r>
        <w:t xml:space="preserve"> </w:t>
      </w:r>
    </w:p>
    <w:p w14:paraId="07F6A4D9" w14:textId="77777777" w:rsidR="00BE757B" w:rsidRDefault="00BE757B" w:rsidP="00F14E90">
      <w:r>
        <w:t xml:space="preserve"> </w:t>
      </w:r>
    </w:p>
    <w:p w14:paraId="07F6A4DA" w14:textId="77777777" w:rsidR="00BE757B" w:rsidRDefault="00BE757B" w:rsidP="00F14E90">
      <w:r>
        <w:t xml:space="preserve"> </w:t>
      </w:r>
    </w:p>
    <w:p w14:paraId="07F6A4DB" w14:textId="77777777" w:rsidR="00BE757B" w:rsidRDefault="00BE757B" w:rsidP="00F14E90">
      <w:r>
        <w:t xml:space="preserve"> </w:t>
      </w:r>
    </w:p>
    <w:p w14:paraId="07F6A4DC" w14:textId="77777777" w:rsidR="00BE757B" w:rsidRDefault="00BE757B" w:rsidP="00F14E90">
      <w:pPr>
        <w:ind w:right="307"/>
        <w:jc w:val="right"/>
      </w:pPr>
      <w:r>
        <w:rPr>
          <w:rFonts w:ascii="Arial" w:eastAsia="Arial" w:hAnsi="Arial" w:cs="Arial"/>
          <w:b/>
        </w:rPr>
        <w:t xml:space="preserve"> </w:t>
      </w:r>
    </w:p>
    <w:p w14:paraId="07F6A4DD" w14:textId="77777777" w:rsidR="004F1717" w:rsidRDefault="004F1717">
      <w:pPr>
        <w:suppressAutoHyphens w:val="0"/>
        <w:spacing w:after="160" w:line="259" w:lineRule="auto"/>
        <w:rPr>
          <w:rFonts w:ascii="Arial" w:eastAsia="Arial" w:hAnsi="Arial" w:cs="Arial"/>
          <w:b/>
          <w:sz w:val="24"/>
        </w:rPr>
      </w:pPr>
      <w:r>
        <w:rPr>
          <w:rFonts w:ascii="Arial" w:eastAsia="Arial" w:hAnsi="Arial" w:cs="Arial"/>
          <w:b/>
          <w:sz w:val="24"/>
        </w:rPr>
        <w:br w:type="page"/>
      </w:r>
    </w:p>
    <w:p w14:paraId="07F6A4DE" w14:textId="77777777" w:rsidR="00BE757B" w:rsidRPr="007044FA" w:rsidRDefault="00BE757B" w:rsidP="007044FA">
      <w:pPr>
        <w:ind w:right="362"/>
        <w:jc w:val="center"/>
        <w:rPr>
          <w:sz w:val="24"/>
        </w:rPr>
      </w:pPr>
      <w:r w:rsidRPr="007044FA">
        <w:rPr>
          <w:rFonts w:ascii="Arial" w:eastAsia="Arial" w:hAnsi="Arial" w:cs="Arial"/>
          <w:b/>
          <w:sz w:val="24"/>
        </w:rPr>
        <w:lastRenderedPageBreak/>
        <w:t>Appendix B</w:t>
      </w:r>
    </w:p>
    <w:p w14:paraId="07F6A4DF" w14:textId="77777777" w:rsidR="00BE757B" w:rsidRPr="007044FA" w:rsidRDefault="00BE757B" w:rsidP="007044FA">
      <w:pPr>
        <w:ind w:right="307"/>
        <w:jc w:val="center"/>
        <w:rPr>
          <w:sz w:val="24"/>
        </w:rPr>
      </w:pPr>
    </w:p>
    <w:p w14:paraId="07F6A4E0" w14:textId="77777777" w:rsidR="00BE757B" w:rsidRPr="007044FA" w:rsidRDefault="00BE757B" w:rsidP="007044FA">
      <w:pPr>
        <w:ind w:right="377"/>
        <w:jc w:val="center"/>
        <w:rPr>
          <w:sz w:val="24"/>
        </w:rPr>
      </w:pPr>
      <w:r w:rsidRPr="007044FA">
        <w:rPr>
          <w:rFonts w:ascii="Arial" w:eastAsia="Arial" w:hAnsi="Arial" w:cs="Arial"/>
          <w:b/>
          <w:sz w:val="24"/>
        </w:rPr>
        <w:t>Powys Ready Reckoner Redundancy Table</w:t>
      </w:r>
    </w:p>
    <w:p w14:paraId="07F6A4E1" w14:textId="77777777" w:rsidR="00BE757B" w:rsidRDefault="00BE757B" w:rsidP="00F14E90">
      <w:pPr>
        <w:ind w:right="307"/>
        <w:jc w:val="center"/>
      </w:pPr>
      <w:r>
        <w:rPr>
          <w:rFonts w:ascii="Arial" w:eastAsia="Arial" w:hAnsi="Arial" w:cs="Arial"/>
          <w:b/>
        </w:rPr>
        <w:t xml:space="preserve"> </w:t>
      </w:r>
    </w:p>
    <w:p w14:paraId="07F6A4E2" w14:textId="77777777" w:rsidR="00BE757B" w:rsidRDefault="00BE757B" w:rsidP="00F14E90">
      <w:pPr>
        <w:ind w:right="380"/>
        <w:jc w:val="center"/>
      </w:pPr>
      <w:r>
        <w:t xml:space="preserve">Based on 1.5 weeks’ pay per continuous years’ service (max 30 weeks) </w:t>
      </w:r>
    </w:p>
    <w:p w14:paraId="07F6A4E3" w14:textId="77777777" w:rsidR="00BE757B" w:rsidRDefault="00BE757B" w:rsidP="00F14E90">
      <w:pPr>
        <w:ind w:right="307"/>
        <w:jc w:val="center"/>
      </w:pPr>
      <w:r>
        <w:t xml:space="preserve"> </w:t>
      </w:r>
    </w:p>
    <w:tbl>
      <w:tblPr>
        <w:tblStyle w:val="TableGrid"/>
        <w:tblW w:w="3824" w:type="dxa"/>
        <w:tblInd w:w="2910" w:type="dxa"/>
        <w:tblCellMar>
          <w:top w:w="16" w:type="dxa"/>
          <w:left w:w="108" w:type="dxa"/>
          <w:right w:w="72" w:type="dxa"/>
        </w:tblCellMar>
        <w:tblLook w:val="04A0" w:firstRow="1" w:lastRow="0" w:firstColumn="1" w:lastColumn="0" w:noHBand="0" w:noVBand="1"/>
      </w:tblPr>
      <w:tblGrid>
        <w:gridCol w:w="1980"/>
        <w:gridCol w:w="1844"/>
      </w:tblGrid>
      <w:tr w:rsidR="00BE757B" w14:paraId="07F6A4EB" w14:textId="77777777" w:rsidTr="00BE757B">
        <w:trPr>
          <w:trHeight w:val="1399"/>
        </w:trPr>
        <w:tc>
          <w:tcPr>
            <w:tcW w:w="1980" w:type="dxa"/>
            <w:tcBorders>
              <w:top w:val="single" w:sz="8" w:space="0" w:color="000000"/>
              <w:left w:val="single" w:sz="8" w:space="0" w:color="000000"/>
              <w:bottom w:val="single" w:sz="8" w:space="0" w:color="000000"/>
              <w:right w:val="single" w:sz="8" w:space="0" w:color="000000"/>
            </w:tcBorders>
          </w:tcPr>
          <w:p w14:paraId="07F6A4E4" w14:textId="77777777" w:rsidR="00BE757B" w:rsidRDefault="00BE757B" w:rsidP="00F14E90">
            <w:pPr>
              <w:ind w:right="36"/>
              <w:jc w:val="center"/>
            </w:pPr>
            <w:r>
              <w:rPr>
                <w:rFonts w:ascii="Arial" w:eastAsia="Arial" w:hAnsi="Arial" w:cs="Arial"/>
                <w:b/>
                <w:u w:val="single" w:color="000000"/>
              </w:rPr>
              <w:t>Length of</w:t>
            </w:r>
            <w:r>
              <w:rPr>
                <w:rFonts w:ascii="Arial" w:eastAsia="Arial" w:hAnsi="Arial" w:cs="Arial"/>
                <w:b/>
              </w:rPr>
              <w:t xml:space="preserve"> </w:t>
            </w:r>
          </w:p>
          <w:p w14:paraId="07F6A4E5" w14:textId="77777777" w:rsidR="00BE757B" w:rsidRDefault="00BE757B" w:rsidP="00F14E90">
            <w:pPr>
              <w:ind w:right="37"/>
              <w:jc w:val="center"/>
            </w:pPr>
            <w:r>
              <w:rPr>
                <w:rFonts w:ascii="Arial" w:eastAsia="Arial" w:hAnsi="Arial" w:cs="Arial"/>
                <w:b/>
                <w:u w:val="single" w:color="000000"/>
              </w:rPr>
              <w:t>Continuous</w:t>
            </w:r>
            <w:r>
              <w:rPr>
                <w:rFonts w:ascii="Arial" w:eastAsia="Arial" w:hAnsi="Arial" w:cs="Arial"/>
                <w:b/>
              </w:rPr>
              <w:t xml:space="preserve"> </w:t>
            </w:r>
          </w:p>
          <w:p w14:paraId="07F6A4E6" w14:textId="77777777" w:rsidR="00BE757B" w:rsidRDefault="00BE757B" w:rsidP="00F14E90">
            <w:pPr>
              <w:ind w:left="26"/>
            </w:pPr>
            <w:r>
              <w:rPr>
                <w:rFonts w:ascii="Arial" w:eastAsia="Arial" w:hAnsi="Arial" w:cs="Arial"/>
                <w:b/>
                <w:u w:val="single" w:color="000000"/>
              </w:rPr>
              <w:t>Service (as per</w:t>
            </w:r>
            <w:r>
              <w:rPr>
                <w:rFonts w:ascii="Arial" w:eastAsia="Arial" w:hAnsi="Arial" w:cs="Arial"/>
                <w:b/>
              </w:rPr>
              <w:t xml:space="preserve"> </w:t>
            </w:r>
          </w:p>
          <w:p w14:paraId="07F6A4E7" w14:textId="77777777" w:rsidR="00BE757B" w:rsidRDefault="00BE757B" w:rsidP="00F14E90">
            <w:pPr>
              <w:jc w:val="center"/>
            </w:pPr>
            <w:r>
              <w:rPr>
                <w:rFonts w:ascii="Arial" w:eastAsia="Arial" w:hAnsi="Arial" w:cs="Arial"/>
                <w:b/>
                <w:u w:val="single" w:color="000000"/>
              </w:rPr>
              <w:t>Modification</w:t>
            </w:r>
            <w:r>
              <w:rPr>
                <w:rFonts w:ascii="Arial" w:eastAsia="Arial" w:hAnsi="Arial" w:cs="Arial"/>
                <w:b/>
              </w:rPr>
              <w:t xml:space="preserve"> </w:t>
            </w:r>
            <w:r>
              <w:rPr>
                <w:rFonts w:ascii="Arial" w:eastAsia="Arial" w:hAnsi="Arial" w:cs="Arial"/>
                <w:b/>
                <w:u w:val="single" w:color="000000"/>
              </w:rPr>
              <w:t>Order)</w:t>
            </w:r>
            <w:r>
              <w:rPr>
                <w:rFonts w:ascii="Arial" w:eastAsia="Arial" w:hAnsi="Arial" w:cs="Arial"/>
                <w:b/>
                <w:sz w:val="22"/>
              </w:rPr>
              <w:t xml:space="preserve"> </w:t>
            </w:r>
          </w:p>
        </w:tc>
        <w:tc>
          <w:tcPr>
            <w:tcW w:w="1844" w:type="dxa"/>
            <w:tcBorders>
              <w:top w:val="single" w:sz="8" w:space="0" w:color="000000"/>
              <w:left w:val="single" w:sz="8" w:space="0" w:color="000000"/>
              <w:bottom w:val="single" w:sz="8" w:space="0" w:color="000000"/>
              <w:right w:val="single" w:sz="8" w:space="0" w:color="000000"/>
            </w:tcBorders>
          </w:tcPr>
          <w:p w14:paraId="07F6A4E8" w14:textId="77777777" w:rsidR="00BE757B" w:rsidRDefault="00BE757B" w:rsidP="00F14E90">
            <w:r>
              <w:t xml:space="preserve"> </w:t>
            </w:r>
          </w:p>
          <w:p w14:paraId="07F6A4E9" w14:textId="77777777" w:rsidR="00BE757B" w:rsidRDefault="00BE757B" w:rsidP="00F14E90">
            <w:pPr>
              <w:jc w:val="center"/>
            </w:pPr>
            <w:r>
              <w:rPr>
                <w:rFonts w:ascii="Arial" w:eastAsia="Arial" w:hAnsi="Arial" w:cs="Arial"/>
                <w:b/>
                <w:u w:val="single" w:color="000000"/>
              </w:rPr>
              <w:t>Number of</w:t>
            </w:r>
            <w:r>
              <w:rPr>
                <w:rFonts w:ascii="Arial" w:eastAsia="Arial" w:hAnsi="Arial" w:cs="Arial"/>
                <w:b/>
              </w:rPr>
              <w:t xml:space="preserve"> </w:t>
            </w:r>
            <w:r>
              <w:rPr>
                <w:rFonts w:ascii="Arial" w:eastAsia="Arial" w:hAnsi="Arial" w:cs="Arial"/>
                <w:b/>
                <w:u w:val="single" w:color="000000"/>
              </w:rPr>
              <w:t>weeks</w:t>
            </w:r>
            <w:r>
              <w:rPr>
                <w:rFonts w:ascii="Arial" w:eastAsia="Arial" w:hAnsi="Arial" w:cs="Arial"/>
                <w:b/>
              </w:rPr>
              <w:t xml:space="preserve"> </w:t>
            </w:r>
          </w:p>
          <w:p w14:paraId="07F6A4EA" w14:textId="77777777" w:rsidR="00BE757B" w:rsidRDefault="00BE757B" w:rsidP="00F14E90">
            <w:pPr>
              <w:jc w:val="center"/>
            </w:pPr>
            <w:r>
              <w:rPr>
                <w:rFonts w:ascii="Arial" w:eastAsia="Arial" w:hAnsi="Arial" w:cs="Arial"/>
                <w:b/>
                <w:u w:val="single" w:color="000000"/>
              </w:rPr>
              <w:t>Redundancy</w:t>
            </w:r>
            <w:r>
              <w:rPr>
                <w:rFonts w:ascii="Arial" w:eastAsia="Arial" w:hAnsi="Arial" w:cs="Arial"/>
                <w:b/>
              </w:rPr>
              <w:t xml:space="preserve"> </w:t>
            </w:r>
            <w:r>
              <w:rPr>
                <w:rFonts w:ascii="Arial" w:eastAsia="Arial" w:hAnsi="Arial" w:cs="Arial"/>
                <w:b/>
                <w:u w:val="single" w:color="000000"/>
              </w:rPr>
              <w:t>Pay</w:t>
            </w:r>
            <w:r>
              <w:rPr>
                <w:rFonts w:ascii="Arial" w:eastAsia="Arial" w:hAnsi="Arial" w:cs="Arial"/>
                <w:b/>
              </w:rPr>
              <w:t xml:space="preserve"> </w:t>
            </w:r>
          </w:p>
        </w:tc>
      </w:tr>
      <w:tr w:rsidR="00BE757B" w14:paraId="07F6A4EE" w14:textId="77777777" w:rsidTr="00BE757B">
        <w:trPr>
          <w:trHeight w:val="331"/>
        </w:trPr>
        <w:tc>
          <w:tcPr>
            <w:tcW w:w="1980" w:type="dxa"/>
            <w:tcBorders>
              <w:top w:val="single" w:sz="8" w:space="0" w:color="000000"/>
              <w:left w:val="single" w:sz="8" w:space="0" w:color="000000"/>
              <w:bottom w:val="single" w:sz="8" w:space="0" w:color="000000"/>
              <w:right w:val="single" w:sz="8" w:space="0" w:color="000000"/>
            </w:tcBorders>
          </w:tcPr>
          <w:p w14:paraId="07F6A4EC" w14:textId="77777777" w:rsidR="00BE757B" w:rsidRDefault="00BE757B" w:rsidP="00F14E90">
            <w:pPr>
              <w:ind w:right="40"/>
              <w:jc w:val="center"/>
            </w:pPr>
            <w:r>
              <w:t xml:space="preserve">2 </w:t>
            </w:r>
          </w:p>
        </w:tc>
        <w:tc>
          <w:tcPr>
            <w:tcW w:w="1844" w:type="dxa"/>
            <w:tcBorders>
              <w:top w:val="single" w:sz="8" w:space="0" w:color="000000"/>
              <w:left w:val="single" w:sz="8" w:space="0" w:color="000000"/>
              <w:bottom w:val="single" w:sz="8" w:space="0" w:color="000000"/>
              <w:right w:val="single" w:sz="8" w:space="0" w:color="000000"/>
            </w:tcBorders>
          </w:tcPr>
          <w:p w14:paraId="07F6A4ED" w14:textId="77777777" w:rsidR="00BE757B" w:rsidRDefault="00BE757B" w:rsidP="00F14E90">
            <w:pPr>
              <w:ind w:right="37"/>
              <w:jc w:val="center"/>
            </w:pPr>
            <w:r>
              <w:t xml:space="preserve">3 </w:t>
            </w:r>
          </w:p>
        </w:tc>
      </w:tr>
      <w:tr w:rsidR="00BE757B" w14:paraId="07F6A4F1" w14:textId="77777777" w:rsidTr="00BE757B">
        <w:trPr>
          <w:trHeight w:val="298"/>
        </w:trPr>
        <w:tc>
          <w:tcPr>
            <w:tcW w:w="1980" w:type="dxa"/>
            <w:tcBorders>
              <w:top w:val="single" w:sz="8" w:space="0" w:color="000000"/>
              <w:left w:val="single" w:sz="8" w:space="0" w:color="000000"/>
              <w:bottom w:val="single" w:sz="8" w:space="0" w:color="000000"/>
              <w:right w:val="single" w:sz="8" w:space="0" w:color="000000"/>
            </w:tcBorders>
          </w:tcPr>
          <w:p w14:paraId="07F6A4EF" w14:textId="77777777" w:rsidR="00BE757B" w:rsidRDefault="00BE757B" w:rsidP="00F14E90">
            <w:pPr>
              <w:ind w:right="40"/>
              <w:jc w:val="center"/>
            </w:pPr>
            <w:r>
              <w:t xml:space="preserve">3 </w:t>
            </w:r>
          </w:p>
        </w:tc>
        <w:tc>
          <w:tcPr>
            <w:tcW w:w="1844" w:type="dxa"/>
            <w:tcBorders>
              <w:top w:val="single" w:sz="8" w:space="0" w:color="000000"/>
              <w:left w:val="single" w:sz="8" w:space="0" w:color="000000"/>
              <w:bottom w:val="single" w:sz="8" w:space="0" w:color="000000"/>
              <w:right w:val="single" w:sz="8" w:space="0" w:color="000000"/>
            </w:tcBorders>
          </w:tcPr>
          <w:p w14:paraId="07F6A4F0" w14:textId="77777777" w:rsidR="00BE757B" w:rsidRDefault="00BE757B" w:rsidP="00F14E90">
            <w:pPr>
              <w:ind w:right="37"/>
              <w:jc w:val="center"/>
            </w:pPr>
            <w:r>
              <w:t xml:space="preserve">4.5 </w:t>
            </w:r>
          </w:p>
        </w:tc>
      </w:tr>
      <w:tr w:rsidR="00BE757B" w14:paraId="07F6A4F4" w14:textId="77777777" w:rsidTr="00BE757B">
        <w:trPr>
          <w:trHeight w:val="295"/>
        </w:trPr>
        <w:tc>
          <w:tcPr>
            <w:tcW w:w="1980" w:type="dxa"/>
            <w:tcBorders>
              <w:top w:val="single" w:sz="8" w:space="0" w:color="000000"/>
              <w:left w:val="single" w:sz="8" w:space="0" w:color="000000"/>
              <w:bottom w:val="single" w:sz="8" w:space="0" w:color="000000"/>
              <w:right w:val="single" w:sz="8" w:space="0" w:color="000000"/>
            </w:tcBorders>
          </w:tcPr>
          <w:p w14:paraId="07F6A4F2" w14:textId="77777777" w:rsidR="00BE757B" w:rsidRDefault="00BE757B" w:rsidP="00F14E90">
            <w:pPr>
              <w:ind w:right="40"/>
              <w:jc w:val="center"/>
            </w:pPr>
            <w:r>
              <w:t xml:space="preserve">4 </w:t>
            </w:r>
          </w:p>
        </w:tc>
        <w:tc>
          <w:tcPr>
            <w:tcW w:w="1844" w:type="dxa"/>
            <w:tcBorders>
              <w:top w:val="single" w:sz="8" w:space="0" w:color="000000"/>
              <w:left w:val="single" w:sz="8" w:space="0" w:color="000000"/>
              <w:bottom w:val="single" w:sz="8" w:space="0" w:color="000000"/>
              <w:right w:val="single" w:sz="8" w:space="0" w:color="000000"/>
            </w:tcBorders>
          </w:tcPr>
          <w:p w14:paraId="07F6A4F3" w14:textId="77777777" w:rsidR="00BE757B" w:rsidRDefault="00BE757B" w:rsidP="00F14E90">
            <w:pPr>
              <w:ind w:right="37"/>
              <w:jc w:val="center"/>
            </w:pPr>
            <w:r>
              <w:t xml:space="preserve">6 </w:t>
            </w:r>
          </w:p>
        </w:tc>
      </w:tr>
      <w:tr w:rsidR="00BE757B" w14:paraId="07F6A4F7" w14:textId="77777777" w:rsidTr="00BE757B">
        <w:trPr>
          <w:trHeight w:val="296"/>
        </w:trPr>
        <w:tc>
          <w:tcPr>
            <w:tcW w:w="1980" w:type="dxa"/>
            <w:tcBorders>
              <w:top w:val="single" w:sz="8" w:space="0" w:color="000000"/>
              <w:left w:val="single" w:sz="8" w:space="0" w:color="000000"/>
              <w:bottom w:val="single" w:sz="8" w:space="0" w:color="000000"/>
              <w:right w:val="single" w:sz="8" w:space="0" w:color="000000"/>
            </w:tcBorders>
          </w:tcPr>
          <w:p w14:paraId="07F6A4F5" w14:textId="77777777" w:rsidR="00BE757B" w:rsidRDefault="00BE757B" w:rsidP="00F14E90">
            <w:pPr>
              <w:ind w:right="40"/>
              <w:jc w:val="center"/>
            </w:pPr>
            <w:r>
              <w:t xml:space="preserve">5 </w:t>
            </w:r>
          </w:p>
        </w:tc>
        <w:tc>
          <w:tcPr>
            <w:tcW w:w="1844" w:type="dxa"/>
            <w:tcBorders>
              <w:top w:val="single" w:sz="8" w:space="0" w:color="000000"/>
              <w:left w:val="single" w:sz="8" w:space="0" w:color="000000"/>
              <w:bottom w:val="single" w:sz="8" w:space="0" w:color="000000"/>
              <w:right w:val="single" w:sz="8" w:space="0" w:color="000000"/>
            </w:tcBorders>
          </w:tcPr>
          <w:p w14:paraId="07F6A4F6" w14:textId="77777777" w:rsidR="00BE757B" w:rsidRDefault="00BE757B" w:rsidP="00F14E90">
            <w:pPr>
              <w:ind w:right="37"/>
              <w:jc w:val="center"/>
            </w:pPr>
            <w:r>
              <w:t xml:space="preserve">7.5 </w:t>
            </w:r>
          </w:p>
        </w:tc>
      </w:tr>
      <w:tr w:rsidR="00BE757B" w14:paraId="07F6A4FA" w14:textId="77777777" w:rsidTr="00BE757B">
        <w:trPr>
          <w:trHeight w:val="298"/>
        </w:trPr>
        <w:tc>
          <w:tcPr>
            <w:tcW w:w="1980" w:type="dxa"/>
            <w:tcBorders>
              <w:top w:val="single" w:sz="8" w:space="0" w:color="000000"/>
              <w:left w:val="single" w:sz="8" w:space="0" w:color="000000"/>
              <w:bottom w:val="single" w:sz="8" w:space="0" w:color="000000"/>
              <w:right w:val="single" w:sz="8" w:space="0" w:color="000000"/>
            </w:tcBorders>
          </w:tcPr>
          <w:p w14:paraId="07F6A4F8" w14:textId="77777777" w:rsidR="00BE757B" w:rsidRDefault="00BE757B" w:rsidP="00F14E90">
            <w:pPr>
              <w:ind w:right="40"/>
              <w:jc w:val="center"/>
            </w:pPr>
            <w:r>
              <w:t xml:space="preserve">6 </w:t>
            </w:r>
          </w:p>
        </w:tc>
        <w:tc>
          <w:tcPr>
            <w:tcW w:w="1844" w:type="dxa"/>
            <w:tcBorders>
              <w:top w:val="single" w:sz="8" w:space="0" w:color="000000"/>
              <w:left w:val="single" w:sz="8" w:space="0" w:color="000000"/>
              <w:bottom w:val="single" w:sz="8" w:space="0" w:color="000000"/>
              <w:right w:val="single" w:sz="8" w:space="0" w:color="000000"/>
            </w:tcBorders>
          </w:tcPr>
          <w:p w14:paraId="07F6A4F9" w14:textId="77777777" w:rsidR="00BE757B" w:rsidRDefault="00BE757B" w:rsidP="00F14E90">
            <w:pPr>
              <w:ind w:right="37"/>
              <w:jc w:val="center"/>
            </w:pPr>
            <w:r>
              <w:t xml:space="preserve">9 </w:t>
            </w:r>
          </w:p>
        </w:tc>
      </w:tr>
      <w:tr w:rsidR="00BE757B" w14:paraId="07F6A4FD" w14:textId="77777777" w:rsidTr="00BE757B">
        <w:trPr>
          <w:trHeight w:val="295"/>
        </w:trPr>
        <w:tc>
          <w:tcPr>
            <w:tcW w:w="1980" w:type="dxa"/>
            <w:tcBorders>
              <w:top w:val="single" w:sz="8" w:space="0" w:color="000000"/>
              <w:left w:val="single" w:sz="8" w:space="0" w:color="000000"/>
              <w:bottom w:val="single" w:sz="8" w:space="0" w:color="000000"/>
              <w:right w:val="single" w:sz="8" w:space="0" w:color="000000"/>
            </w:tcBorders>
          </w:tcPr>
          <w:p w14:paraId="07F6A4FB" w14:textId="77777777" w:rsidR="00BE757B" w:rsidRDefault="00BE757B" w:rsidP="00F14E90">
            <w:pPr>
              <w:ind w:right="40"/>
              <w:jc w:val="center"/>
            </w:pPr>
            <w:r>
              <w:t xml:space="preserve">7 </w:t>
            </w:r>
          </w:p>
        </w:tc>
        <w:tc>
          <w:tcPr>
            <w:tcW w:w="1844" w:type="dxa"/>
            <w:tcBorders>
              <w:top w:val="single" w:sz="8" w:space="0" w:color="000000"/>
              <w:left w:val="single" w:sz="8" w:space="0" w:color="000000"/>
              <w:bottom w:val="single" w:sz="8" w:space="0" w:color="000000"/>
              <w:right w:val="single" w:sz="8" w:space="0" w:color="000000"/>
            </w:tcBorders>
          </w:tcPr>
          <w:p w14:paraId="07F6A4FC" w14:textId="77777777" w:rsidR="00BE757B" w:rsidRDefault="00BE757B" w:rsidP="00F14E90">
            <w:pPr>
              <w:ind w:right="38"/>
              <w:jc w:val="center"/>
            </w:pPr>
            <w:r>
              <w:t xml:space="preserve">10.5 </w:t>
            </w:r>
          </w:p>
        </w:tc>
      </w:tr>
      <w:tr w:rsidR="00BE757B" w14:paraId="07F6A500" w14:textId="77777777" w:rsidTr="00BE757B">
        <w:trPr>
          <w:trHeight w:val="295"/>
        </w:trPr>
        <w:tc>
          <w:tcPr>
            <w:tcW w:w="1980" w:type="dxa"/>
            <w:tcBorders>
              <w:top w:val="single" w:sz="8" w:space="0" w:color="000000"/>
              <w:left w:val="single" w:sz="8" w:space="0" w:color="000000"/>
              <w:bottom w:val="single" w:sz="8" w:space="0" w:color="000000"/>
              <w:right w:val="single" w:sz="8" w:space="0" w:color="000000"/>
            </w:tcBorders>
          </w:tcPr>
          <w:p w14:paraId="07F6A4FE" w14:textId="77777777" w:rsidR="00BE757B" w:rsidRDefault="00BE757B" w:rsidP="00F14E90">
            <w:pPr>
              <w:ind w:right="40"/>
              <w:jc w:val="center"/>
            </w:pPr>
            <w:r>
              <w:t xml:space="preserve">8 </w:t>
            </w:r>
          </w:p>
        </w:tc>
        <w:tc>
          <w:tcPr>
            <w:tcW w:w="1844" w:type="dxa"/>
            <w:tcBorders>
              <w:top w:val="single" w:sz="8" w:space="0" w:color="000000"/>
              <w:left w:val="single" w:sz="8" w:space="0" w:color="000000"/>
              <w:bottom w:val="single" w:sz="8" w:space="0" w:color="000000"/>
              <w:right w:val="single" w:sz="8" w:space="0" w:color="000000"/>
            </w:tcBorders>
          </w:tcPr>
          <w:p w14:paraId="07F6A4FF" w14:textId="77777777" w:rsidR="00BE757B" w:rsidRDefault="00BE757B" w:rsidP="00F14E90">
            <w:pPr>
              <w:ind w:right="37"/>
              <w:jc w:val="center"/>
            </w:pPr>
            <w:r>
              <w:t xml:space="preserve">12 </w:t>
            </w:r>
          </w:p>
        </w:tc>
      </w:tr>
      <w:tr w:rsidR="00BE757B" w14:paraId="07F6A503" w14:textId="77777777" w:rsidTr="00BE757B">
        <w:trPr>
          <w:trHeight w:val="295"/>
        </w:trPr>
        <w:tc>
          <w:tcPr>
            <w:tcW w:w="1980" w:type="dxa"/>
            <w:tcBorders>
              <w:top w:val="single" w:sz="8" w:space="0" w:color="000000"/>
              <w:left w:val="single" w:sz="8" w:space="0" w:color="000000"/>
              <w:bottom w:val="single" w:sz="8" w:space="0" w:color="000000"/>
              <w:right w:val="single" w:sz="8" w:space="0" w:color="000000"/>
            </w:tcBorders>
          </w:tcPr>
          <w:p w14:paraId="07F6A501" w14:textId="77777777" w:rsidR="00BE757B" w:rsidRDefault="00BE757B" w:rsidP="00F14E90">
            <w:pPr>
              <w:ind w:right="40"/>
              <w:jc w:val="center"/>
            </w:pPr>
            <w:r>
              <w:t xml:space="preserve">9 </w:t>
            </w:r>
          </w:p>
        </w:tc>
        <w:tc>
          <w:tcPr>
            <w:tcW w:w="1844" w:type="dxa"/>
            <w:tcBorders>
              <w:top w:val="single" w:sz="8" w:space="0" w:color="000000"/>
              <w:left w:val="single" w:sz="8" w:space="0" w:color="000000"/>
              <w:bottom w:val="single" w:sz="8" w:space="0" w:color="000000"/>
              <w:right w:val="single" w:sz="8" w:space="0" w:color="000000"/>
            </w:tcBorders>
          </w:tcPr>
          <w:p w14:paraId="07F6A502" w14:textId="77777777" w:rsidR="00BE757B" w:rsidRDefault="00BE757B" w:rsidP="00F14E90">
            <w:pPr>
              <w:ind w:right="38"/>
              <w:jc w:val="center"/>
            </w:pPr>
            <w:r>
              <w:t xml:space="preserve">13.5 </w:t>
            </w:r>
          </w:p>
        </w:tc>
      </w:tr>
      <w:tr w:rsidR="00BE757B" w14:paraId="07F6A506" w14:textId="77777777" w:rsidTr="00BE757B">
        <w:trPr>
          <w:trHeight w:val="298"/>
        </w:trPr>
        <w:tc>
          <w:tcPr>
            <w:tcW w:w="1980" w:type="dxa"/>
            <w:tcBorders>
              <w:top w:val="single" w:sz="8" w:space="0" w:color="000000"/>
              <w:left w:val="single" w:sz="8" w:space="0" w:color="000000"/>
              <w:bottom w:val="single" w:sz="8" w:space="0" w:color="000000"/>
              <w:right w:val="single" w:sz="8" w:space="0" w:color="000000"/>
            </w:tcBorders>
          </w:tcPr>
          <w:p w14:paraId="07F6A504" w14:textId="77777777" w:rsidR="00BE757B" w:rsidRDefault="00BE757B" w:rsidP="00F14E90">
            <w:pPr>
              <w:ind w:right="35"/>
              <w:jc w:val="center"/>
            </w:pPr>
            <w:r>
              <w:t xml:space="preserve">10 </w:t>
            </w:r>
          </w:p>
        </w:tc>
        <w:tc>
          <w:tcPr>
            <w:tcW w:w="1844" w:type="dxa"/>
            <w:tcBorders>
              <w:top w:val="single" w:sz="8" w:space="0" w:color="000000"/>
              <w:left w:val="single" w:sz="8" w:space="0" w:color="000000"/>
              <w:bottom w:val="single" w:sz="8" w:space="0" w:color="000000"/>
              <w:right w:val="single" w:sz="8" w:space="0" w:color="000000"/>
            </w:tcBorders>
          </w:tcPr>
          <w:p w14:paraId="07F6A505" w14:textId="77777777" w:rsidR="00BE757B" w:rsidRDefault="00BE757B" w:rsidP="00F14E90">
            <w:pPr>
              <w:ind w:right="37"/>
              <w:jc w:val="center"/>
            </w:pPr>
            <w:r>
              <w:t xml:space="preserve">15 </w:t>
            </w:r>
          </w:p>
        </w:tc>
      </w:tr>
      <w:tr w:rsidR="00BE757B" w14:paraId="07F6A509" w14:textId="77777777" w:rsidTr="00BE757B">
        <w:trPr>
          <w:trHeight w:val="295"/>
        </w:trPr>
        <w:tc>
          <w:tcPr>
            <w:tcW w:w="1980" w:type="dxa"/>
            <w:tcBorders>
              <w:top w:val="single" w:sz="8" w:space="0" w:color="000000"/>
              <w:left w:val="single" w:sz="8" w:space="0" w:color="000000"/>
              <w:bottom w:val="single" w:sz="8" w:space="0" w:color="000000"/>
              <w:right w:val="single" w:sz="8" w:space="0" w:color="000000"/>
            </w:tcBorders>
          </w:tcPr>
          <w:p w14:paraId="07F6A507" w14:textId="77777777" w:rsidR="00BE757B" w:rsidRDefault="00BE757B" w:rsidP="00F14E90">
            <w:pPr>
              <w:ind w:right="35"/>
              <w:jc w:val="center"/>
            </w:pPr>
            <w:r>
              <w:t xml:space="preserve">11 </w:t>
            </w:r>
          </w:p>
        </w:tc>
        <w:tc>
          <w:tcPr>
            <w:tcW w:w="1844" w:type="dxa"/>
            <w:tcBorders>
              <w:top w:val="single" w:sz="8" w:space="0" w:color="000000"/>
              <w:left w:val="single" w:sz="8" w:space="0" w:color="000000"/>
              <w:bottom w:val="single" w:sz="8" w:space="0" w:color="000000"/>
              <w:right w:val="single" w:sz="8" w:space="0" w:color="000000"/>
            </w:tcBorders>
          </w:tcPr>
          <w:p w14:paraId="07F6A508" w14:textId="77777777" w:rsidR="00BE757B" w:rsidRDefault="00BE757B" w:rsidP="00F14E90">
            <w:pPr>
              <w:ind w:right="38"/>
              <w:jc w:val="center"/>
            </w:pPr>
            <w:r>
              <w:t xml:space="preserve">16.5 </w:t>
            </w:r>
          </w:p>
        </w:tc>
      </w:tr>
      <w:tr w:rsidR="00BE757B" w14:paraId="07F6A50C" w14:textId="77777777" w:rsidTr="00BE757B">
        <w:trPr>
          <w:trHeight w:val="295"/>
        </w:trPr>
        <w:tc>
          <w:tcPr>
            <w:tcW w:w="1980" w:type="dxa"/>
            <w:tcBorders>
              <w:top w:val="single" w:sz="8" w:space="0" w:color="000000"/>
              <w:left w:val="single" w:sz="8" w:space="0" w:color="000000"/>
              <w:bottom w:val="single" w:sz="8" w:space="0" w:color="000000"/>
              <w:right w:val="single" w:sz="8" w:space="0" w:color="000000"/>
            </w:tcBorders>
          </w:tcPr>
          <w:p w14:paraId="07F6A50A" w14:textId="77777777" w:rsidR="00BE757B" w:rsidRDefault="00BE757B" w:rsidP="00F14E90">
            <w:pPr>
              <w:ind w:right="35"/>
              <w:jc w:val="center"/>
            </w:pPr>
            <w:r>
              <w:t xml:space="preserve">12 </w:t>
            </w:r>
          </w:p>
        </w:tc>
        <w:tc>
          <w:tcPr>
            <w:tcW w:w="1844" w:type="dxa"/>
            <w:tcBorders>
              <w:top w:val="single" w:sz="8" w:space="0" w:color="000000"/>
              <w:left w:val="single" w:sz="8" w:space="0" w:color="000000"/>
              <w:bottom w:val="single" w:sz="8" w:space="0" w:color="000000"/>
              <w:right w:val="single" w:sz="8" w:space="0" w:color="000000"/>
            </w:tcBorders>
          </w:tcPr>
          <w:p w14:paraId="07F6A50B" w14:textId="77777777" w:rsidR="00BE757B" w:rsidRDefault="00BE757B" w:rsidP="00F14E90">
            <w:pPr>
              <w:ind w:right="37"/>
              <w:jc w:val="center"/>
            </w:pPr>
            <w:r>
              <w:t xml:space="preserve">18 </w:t>
            </w:r>
          </w:p>
        </w:tc>
      </w:tr>
      <w:tr w:rsidR="00BE757B" w14:paraId="07F6A50F" w14:textId="77777777" w:rsidTr="00BE757B">
        <w:trPr>
          <w:trHeight w:val="298"/>
        </w:trPr>
        <w:tc>
          <w:tcPr>
            <w:tcW w:w="1980" w:type="dxa"/>
            <w:tcBorders>
              <w:top w:val="single" w:sz="8" w:space="0" w:color="000000"/>
              <w:left w:val="single" w:sz="8" w:space="0" w:color="000000"/>
              <w:bottom w:val="single" w:sz="8" w:space="0" w:color="000000"/>
              <w:right w:val="single" w:sz="8" w:space="0" w:color="000000"/>
            </w:tcBorders>
          </w:tcPr>
          <w:p w14:paraId="07F6A50D" w14:textId="77777777" w:rsidR="00BE757B" w:rsidRDefault="00BE757B" w:rsidP="00F14E90">
            <w:pPr>
              <w:ind w:right="35"/>
              <w:jc w:val="center"/>
            </w:pPr>
            <w:r>
              <w:t xml:space="preserve">13 </w:t>
            </w:r>
          </w:p>
        </w:tc>
        <w:tc>
          <w:tcPr>
            <w:tcW w:w="1844" w:type="dxa"/>
            <w:tcBorders>
              <w:top w:val="single" w:sz="8" w:space="0" w:color="000000"/>
              <w:left w:val="single" w:sz="8" w:space="0" w:color="000000"/>
              <w:bottom w:val="single" w:sz="8" w:space="0" w:color="000000"/>
              <w:right w:val="single" w:sz="8" w:space="0" w:color="000000"/>
            </w:tcBorders>
          </w:tcPr>
          <w:p w14:paraId="07F6A50E" w14:textId="77777777" w:rsidR="00BE757B" w:rsidRDefault="00BE757B" w:rsidP="00F14E90">
            <w:pPr>
              <w:ind w:right="38"/>
              <w:jc w:val="center"/>
            </w:pPr>
            <w:r>
              <w:t xml:space="preserve">19.5 </w:t>
            </w:r>
          </w:p>
        </w:tc>
      </w:tr>
      <w:tr w:rsidR="00BE757B" w14:paraId="07F6A512" w14:textId="77777777" w:rsidTr="00BE757B">
        <w:trPr>
          <w:trHeight w:val="295"/>
        </w:trPr>
        <w:tc>
          <w:tcPr>
            <w:tcW w:w="1980" w:type="dxa"/>
            <w:tcBorders>
              <w:top w:val="single" w:sz="8" w:space="0" w:color="000000"/>
              <w:left w:val="single" w:sz="8" w:space="0" w:color="000000"/>
              <w:bottom w:val="single" w:sz="8" w:space="0" w:color="000000"/>
              <w:right w:val="single" w:sz="8" w:space="0" w:color="000000"/>
            </w:tcBorders>
          </w:tcPr>
          <w:p w14:paraId="07F6A510" w14:textId="77777777" w:rsidR="00BE757B" w:rsidRDefault="00BE757B" w:rsidP="00F14E90">
            <w:pPr>
              <w:ind w:right="35"/>
              <w:jc w:val="center"/>
            </w:pPr>
            <w:r>
              <w:t xml:space="preserve">14 </w:t>
            </w:r>
          </w:p>
        </w:tc>
        <w:tc>
          <w:tcPr>
            <w:tcW w:w="1844" w:type="dxa"/>
            <w:tcBorders>
              <w:top w:val="single" w:sz="8" w:space="0" w:color="000000"/>
              <w:left w:val="single" w:sz="8" w:space="0" w:color="000000"/>
              <w:bottom w:val="single" w:sz="8" w:space="0" w:color="000000"/>
              <w:right w:val="single" w:sz="8" w:space="0" w:color="000000"/>
            </w:tcBorders>
          </w:tcPr>
          <w:p w14:paraId="07F6A511" w14:textId="77777777" w:rsidR="00BE757B" w:rsidRDefault="00BE757B" w:rsidP="00F14E90">
            <w:pPr>
              <w:ind w:right="37"/>
              <w:jc w:val="center"/>
            </w:pPr>
            <w:r>
              <w:t xml:space="preserve">21 </w:t>
            </w:r>
          </w:p>
        </w:tc>
      </w:tr>
      <w:tr w:rsidR="00BE757B" w14:paraId="07F6A515" w14:textId="77777777" w:rsidTr="00BE757B">
        <w:trPr>
          <w:trHeight w:val="295"/>
        </w:trPr>
        <w:tc>
          <w:tcPr>
            <w:tcW w:w="1980" w:type="dxa"/>
            <w:tcBorders>
              <w:top w:val="single" w:sz="8" w:space="0" w:color="000000"/>
              <w:left w:val="single" w:sz="8" w:space="0" w:color="000000"/>
              <w:bottom w:val="single" w:sz="8" w:space="0" w:color="000000"/>
              <w:right w:val="single" w:sz="8" w:space="0" w:color="000000"/>
            </w:tcBorders>
          </w:tcPr>
          <w:p w14:paraId="07F6A513" w14:textId="77777777" w:rsidR="00BE757B" w:rsidRDefault="00BE757B" w:rsidP="00F14E90">
            <w:pPr>
              <w:ind w:right="35"/>
              <w:jc w:val="center"/>
            </w:pPr>
            <w:r>
              <w:t xml:space="preserve">15 </w:t>
            </w:r>
          </w:p>
        </w:tc>
        <w:tc>
          <w:tcPr>
            <w:tcW w:w="1844" w:type="dxa"/>
            <w:tcBorders>
              <w:top w:val="single" w:sz="8" w:space="0" w:color="000000"/>
              <w:left w:val="single" w:sz="8" w:space="0" w:color="000000"/>
              <w:bottom w:val="single" w:sz="8" w:space="0" w:color="000000"/>
              <w:right w:val="single" w:sz="8" w:space="0" w:color="000000"/>
            </w:tcBorders>
          </w:tcPr>
          <w:p w14:paraId="07F6A514" w14:textId="77777777" w:rsidR="00BE757B" w:rsidRDefault="00BE757B" w:rsidP="00F14E90">
            <w:pPr>
              <w:ind w:right="38"/>
              <w:jc w:val="center"/>
            </w:pPr>
            <w:r>
              <w:t xml:space="preserve">22.5 </w:t>
            </w:r>
          </w:p>
        </w:tc>
      </w:tr>
      <w:tr w:rsidR="00BE757B" w14:paraId="07F6A518" w14:textId="77777777" w:rsidTr="00BE757B">
        <w:trPr>
          <w:trHeight w:val="298"/>
        </w:trPr>
        <w:tc>
          <w:tcPr>
            <w:tcW w:w="1980" w:type="dxa"/>
            <w:tcBorders>
              <w:top w:val="single" w:sz="8" w:space="0" w:color="000000"/>
              <w:left w:val="single" w:sz="8" w:space="0" w:color="000000"/>
              <w:bottom w:val="single" w:sz="8" w:space="0" w:color="000000"/>
              <w:right w:val="single" w:sz="8" w:space="0" w:color="000000"/>
            </w:tcBorders>
          </w:tcPr>
          <w:p w14:paraId="07F6A516" w14:textId="77777777" w:rsidR="00BE757B" w:rsidRDefault="00BE757B" w:rsidP="00F14E90">
            <w:pPr>
              <w:ind w:right="35"/>
              <w:jc w:val="center"/>
            </w:pPr>
            <w:r>
              <w:t xml:space="preserve">16 </w:t>
            </w:r>
          </w:p>
        </w:tc>
        <w:tc>
          <w:tcPr>
            <w:tcW w:w="1844" w:type="dxa"/>
            <w:tcBorders>
              <w:top w:val="single" w:sz="8" w:space="0" w:color="000000"/>
              <w:left w:val="single" w:sz="8" w:space="0" w:color="000000"/>
              <w:bottom w:val="single" w:sz="8" w:space="0" w:color="000000"/>
              <w:right w:val="single" w:sz="8" w:space="0" w:color="000000"/>
            </w:tcBorders>
          </w:tcPr>
          <w:p w14:paraId="07F6A517" w14:textId="77777777" w:rsidR="00BE757B" w:rsidRDefault="00BE757B" w:rsidP="00F14E90">
            <w:pPr>
              <w:ind w:right="37"/>
              <w:jc w:val="center"/>
            </w:pPr>
            <w:r>
              <w:t xml:space="preserve">24 </w:t>
            </w:r>
          </w:p>
        </w:tc>
      </w:tr>
      <w:tr w:rsidR="00BE757B" w14:paraId="07F6A51B" w14:textId="77777777" w:rsidTr="00BE757B">
        <w:trPr>
          <w:trHeight w:val="296"/>
        </w:trPr>
        <w:tc>
          <w:tcPr>
            <w:tcW w:w="1980" w:type="dxa"/>
            <w:tcBorders>
              <w:top w:val="single" w:sz="8" w:space="0" w:color="000000"/>
              <w:left w:val="single" w:sz="8" w:space="0" w:color="000000"/>
              <w:bottom w:val="single" w:sz="8" w:space="0" w:color="000000"/>
              <w:right w:val="single" w:sz="8" w:space="0" w:color="000000"/>
            </w:tcBorders>
          </w:tcPr>
          <w:p w14:paraId="07F6A519" w14:textId="77777777" w:rsidR="00BE757B" w:rsidRDefault="00BE757B" w:rsidP="00F14E90">
            <w:pPr>
              <w:ind w:right="35"/>
              <w:jc w:val="center"/>
            </w:pPr>
            <w:r>
              <w:t xml:space="preserve">17 </w:t>
            </w:r>
          </w:p>
        </w:tc>
        <w:tc>
          <w:tcPr>
            <w:tcW w:w="1844" w:type="dxa"/>
            <w:tcBorders>
              <w:top w:val="single" w:sz="8" w:space="0" w:color="000000"/>
              <w:left w:val="single" w:sz="8" w:space="0" w:color="000000"/>
              <w:bottom w:val="single" w:sz="8" w:space="0" w:color="000000"/>
              <w:right w:val="single" w:sz="8" w:space="0" w:color="000000"/>
            </w:tcBorders>
          </w:tcPr>
          <w:p w14:paraId="07F6A51A" w14:textId="77777777" w:rsidR="00BE757B" w:rsidRDefault="00BE757B" w:rsidP="00F14E90">
            <w:pPr>
              <w:ind w:right="38"/>
              <w:jc w:val="center"/>
            </w:pPr>
            <w:r>
              <w:t xml:space="preserve">25.5 </w:t>
            </w:r>
          </w:p>
        </w:tc>
      </w:tr>
      <w:tr w:rsidR="00BE757B" w14:paraId="07F6A51E" w14:textId="77777777" w:rsidTr="00BE757B">
        <w:trPr>
          <w:trHeight w:val="295"/>
        </w:trPr>
        <w:tc>
          <w:tcPr>
            <w:tcW w:w="1980" w:type="dxa"/>
            <w:tcBorders>
              <w:top w:val="single" w:sz="8" w:space="0" w:color="000000"/>
              <w:left w:val="single" w:sz="8" w:space="0" w:color="000000"/>
              <w:bottom w:val="single" w:sz="8" w:space="0" w:color="000000"/>
              <w:right w:val="single" w:sz="8" w:space="0" w:color="000000"/>
            </w:tcBorders>
          </w:tcPr>
          <w:p w14:paraId="07F6A51C" w14:textId="77777777" w:rsidR="00BE757B" w:rsidRDefault="00BE757B" w:rsidP="00F14E90">
            <w:pPr>
              <w:ind w:right="35"/>
              <w:jc w:val="center"/>
            </w:pPr>
            <w:r>
              <w:t xml:space="preserve">18 </w:t>
            </w:r>
          </w:p>
        </w:tc>
        <w:tc>
          <w:tcPr>
            <w:tcW w:w="1844" w:type="dxa"/>
            <w:tcBorders>
              <w:top w:val="single" w:sz="8" w:space="0" w:color="000000"/>
              <w:left w:val="single" w:sz="8" w:space="0" w:color="000000"/>
              <w:bottom w:val="single" w:sz="8" w:space="0" w:color="000000"/>
              <w:right w:val="single" w:sz="8" w:space="0" w:color="000000"/>
            </w:tcBorders>
          </w:tcPr>
          <w:p w14:paraId="07F6A51D" w14:textId="77777777" w:rsidR="00BE757B" w:rsidRDefault="00BE757B" w:rsidP="00F14E90">
            <w:pPr>
              <w:ind w:right="37"/>
              <w:jc w:val="center"/>
            </w:pPr>
            <w:r>
              <w:t xml:space="preserve">27 </w:t>
            </w:r>
          </w:p>
        </w:tc>
      </w:tr>
      <w:tr w:rsidR="00BE757B" w14:paraId="07F6A521" w14:textId="77777777" w:rsidTr="00BE757B">
        <w:trPr>
          <w:trHeight w:val="298"/>
        </w:trPr>
        <w:tc>
          <w:tcPr>
            <w:tcW w:w="1980" w:type="dxa"/>
            <w:tcBorders>
              <w:top w:val="single" w:sz="8" w:space="0" w:color="000000"/>
              <w:left w:val="single" w:sz="8" w:space="0" w:color="000000"/>
              <w:bottom w:val="single" w:sz="8" w:space="0" w:color="000000"/>
              <w:right w:val="single" w:sz="8" w:space="0" w:color="000000"/>
            </w:tcBorders>
          </w:tcPr>
          <w:p w14:paraId="07F6A51F" w14:textId="77777777" w:rsidR="00BE757B" w:rsidRDefault="00BE757B" w:rsidP="00F14E90">
            <w:pPr>
              <w:ind w:right="35"/>
              <w:jc w:val="center"/>
            </w:pPr>
            <w:r>
              <w:t xml:space="preserve">19 </w:t>
            </w:r>
          </w:p>
        </w:tc>
        <w:tc>
          <w:tcPr>
            <w:tcW w:w="1844" w:type="dxa"/>
            <w:tcBorders>
              <w:top w:val="single" w:sz="8" w:space="0" w:color="000000"/>
              <w:left w:val="single" w:sz="8" w:space="0" w:color="000000"/>
              <w:bottom w:val="single" w:sz="8" w:space="0" w:color="000000"/>
              <w:right w:val="single" w:sz="8" w:space="0" w:color="000000"/>
            </w:tcBorders>
          </w:tcPr>
          <w:p w14:paraId="07F6A520" w14:textId="77777777" w:rsidR="00BE757B" w:rsidRDefault="00BE757B" w:rsidP="00F14E90">
            <w:pPr>
              <w:ind w:right="38"/>
              <w:jc w:val="center"/>
            </w:pPr>
            <w:r>
              <w:t xml:space="preserve">28.5 </w:t>
            </w:r>
          </w:p>
        </w:tc>
      </w:tr>
      <w:tr w:rsidR="00BE757B" w14:paraId="07F6A524" w14:textId="77777777" w:rsidTr="00BE757B">
        <w:trPr>
          <w:trHeight w:val="295"/>
        </w:trPr>
        <w:tc>
          <w:tcPr>
            <w:tcW w:w="1980" w:type="dxa"/>
            <w:tcBorders>
              <w:top w:val="single" w:sz="8" w:space="0" w:color="000000"/>
              <w:left w:val="single" w:sz="8" w:space="0" w:color="000000"/>
              <w:bottom w:val="single" w:sz="8" w:space="0" w:color="000000"/>
              <w:right w:val="single" w:sz="8" w:space="0" w:color="000000"/>
            </w:tcBorders>
          </w:tcPr>
          <w:p w14:paraId="07F6A522" w14:textId="77777777" w:rsidR="00BE757B" w:rsidRDefault="00BE757B" w:rsidP="00F14E90">
            <w:pPr>
              <w:ind w:right="35"/>
              <w:jc w:val="center"/>
            </w:pPr>
            <w:r>
              <w:t xml:space="preserve">20 </w:t>
            </w:r>
          </w:p>
        </w:tc>
        <w:tc>
          <w:tcPr>
            <w:tcW w:w="1844" w:type="dxa"/>
            <w:tcBorders>
              <w:top w:val="single" w:sz="8" w:space="0" w:color="000000"/>
              <w:left w:val="single" w:sz="8" w:space="0" w:color="000000"/>
              <w:bottom w:val="single" w:sz="8" w:space="0" w:color="000000"/>
              <w:right w:val="single" w:sz="8" w:space="0" w:color="000000"/>
            </w:tcBorders>
          </w:tcPr>
          <w:p w14:paraId="07F6A523" w14:textId="77777777" w:rsidR="00BE757B" w:rsidRDefault="00BE757B" w:rsidP="00F14E90">
            <w:pPr>
              <w:ind w:right="37"/>
              <w:jc w:val="center"/>
            </w:pPr>
            <w:r>
              <w:t xml:space="preserve">30 </w:t>
            </w:r>
          </w:p>
        </w:tc>
      </w:tr>
    </w:tbl>
    <w:p w14:paraId="07F6A525" w14:textId="77777777" w:rsidR="00BE757B" w:rsidRDefault="00BE757B"/>
    <w:sectPr w:rsidR="00BE757B" w:rsidSect="004F1717">
      <w:footerReference w:type="default" r:id="rId2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6A52E" w14:textId="77777777" w:rsidR="00310D07" w:rsidRDefault="00310D07" w:rsidP="004F1717">
      <w:r>
        <w:separator/>
      </w:r>
    </w:p>
  </w:endnote>
  <w:endnote w:type="continuationSeparator" w:id="0">
    <w:p w14:paraId="07F6A52F" w14:textId="77777777" w:rsidR="00310D07" w:rsidRDefault="00310D07" w:rsidP="004F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163178"/>
      <w:docPartObj>
        <w:docPartGallery w:val="Page Numbers (Bottom of Page)"/>
        <w:docPartUnique/>
      </w:docPartObj>
    </w:sdtPr>
    <w:sdtEndPr>
      <w:rPr>
        <w:rFonts w:ascii="Arial" w:hAnsi="Arial" w:cs="Arial"/>
        <w:noProof/>
        <w:sz w:val="18"/>
        <w:szCs w:val="18"/>
      </w:rPr>
    </w:sdtEndPr>
    <w:sdtContent>
      <w:p w14:paraId="07F6A530" w14:textId="77777777" w:rsidR="004F1717" w:rsidRPr="004F1717" w:rsidRDefault="004F1717">
        <w:pPr>
          <w:pStyle w:val="Footer"/>
          <w:jc w:val="right"/>
          <w:rPr>
            <w:rFonts w:ascii="Arial" w:hAnsi="Arial" w:cs="Arial"/>
            <w:sz w:val="18"/>
            <w:szCs w:val="18"/>
          </w:rPr>
        </w:pPr>
        <w:r w:rsidRPr="004F1717">
          <w:rPr>
            <w:rFonts w:ascii="Arial" w:hAnsi="Arial" w:cs="Arial"/>
            <w:sz w:val="18"/>
            <w:szCs w:val="18"/>
          </w:rPr>
          <w:t xml:space="preserve">Redundancy Policy February 2021        Page </w:t>
        </w:r>
        <w:r w:rsidRPr="004F1717">
          <w:rPr>
            <w:rFonts w:ascii="Arial" w:hAnsi="Arial" w:cs="Arial"/>
            <w:sz w:val="18"/>
            <w:szCs w:val="18"/>
          </w:rPr>
          <w:fldChar w:fldCharType="begin"/>
        </w:r>
        <w:r w:rsidRPr="004F1717">
          <w:rPr>
            <w:rFonts w:ascii="Arial" w:hAnsi="Arial" w:cs="Arial"/>
            <w:sz w:val="18"/>
            <w:szCs w:val="18"/>
          </w:rPr>
          <w:instrText xml:space="preserve"> PAGE   \* MERGEFORMAT </w:instrText>
        </w:r>
        <w:r w:rsidRPr="004F1717">
          <w:rPr>
            <w:rFonts w:ascii="Arial" w:hAnsi="Arial" w:cs="Arial"/>
            <w:sz w:val="18"/>
            <w:szCs w:val="18"/>
          </w:rPr>
          <w:fldChar w:fldCharType="separate"/>
        </w:r>
        <w:r>
          <w:rPr>
            <w:rFonts w:ascii="Arial" w:hAnsi="Arial" w:cs="Arial"/>
            <w:noProof/>
            <w:sz w:val="18"/>
            <w:szCs w:val="18"/>
          </w:rPr>
          <w:t>12</w:t>
        </w:r>
        <w:r w:rsidRPr="004F1717">
          <w:rPr>
            <w:rFonts w:ascii="Arial" w:hAnsi="Arial" w:cs="Arial"/>
            <w:noProof/>
            <w:sz w:val="18"/>
            <w:szCs w:val="18"/>
          </w:rPr>
          <w:fldChar w:fldCharType="end"/>
        </w:r>
      </w:p>
    </w:sdtContent>
  </w:sdt>
  <w:p w14:paraId="07F6A531" w14:textId="77777777" w:rsidR="004F1717" w:rsidRDefault="004F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6A52C" w14:textId="77777777" w:rsidR="00310D07" w:rsidRDefault="00310D07" w:rsidP="004F1717">
      <w:r>
        <w:separator/>
      </w:r>
    </w:p>
  </w:footnote>
  <w:footnote w:type="continuationSeparator" w:id="0">
    <w:p w14:paraId="07F6A52D" w14:textId="77777777" w:rsidR="00310D07" w:rsidRDefault="00310D07" w:rsidP="004F1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17B3"/>
    <w:multiLevelType w:val="multilevel"/>
    <w:tmpl w:val="AF8AC2F8"/>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1C7CE1"/>
    <w:multiLevelType w:val="multilevel"/>
    <w:tmpl w:val="4E324362"/>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6A51F4"/>
    <w:multiLevelType w:val="multilevel"/>
    <w:tmpl w:val="A0F8F8D2"/>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2F5F3B"/>
    <w:multiLevelType w:val="hybridMultilevel"/>
    <w:tmpl w:val="63AC39A2"/>
    <w:lvl w:ilvl="0" w:tplc="515CCCF8">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FEAE64">
      <w:start w:val="1"/>
      <w:numFmt w:val="bullet"/>
      <w:lvlText w:val="o"/>
      <w:lvlJc w:val="left"/>
      <w:pPr>
        <w:ind w:left="2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D04BA2">
      <w:start w:val="1"/>
      <w:numFmt w:val="bullet"/>
      <w:lvlText w:val="▪"/>
      <w:lvlJc w:val="left"/>
      <w:pPr>
        <w:ind w:left="3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9CFFDC">
      <w:start w:val="1"/>
      <w:numFmt w:val="bullet"/>
      <w:lvlText w:val="•"/>
      <w:lvlJc w:val="left"/>
      <w:pPr>
        <w:ind w:left="3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A0D188">
      <w:start w:val="1"/>
      <w:numFmt w:val="bullet"/>
      <w:lvlText w:val="o"/>
      <w:lvlJc w:val="left"/>
      <w:pPr>
        <w:ind w:left="4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443B16">
      <w:start w:val="1"/>
      <w:numFmt w:val="bullet"/>
      <w:lvlText w:val="▪"/>
      <w:lvlJc w:val="left"/>
      <w:pPr>
        <w:ind w:left="5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000ADC">
      <w:start w:val="1"/>
      <w:numFmt w:val="bullet"/>
      <w:lvlText w:val="•"/>
      <w:lvlJc w:val="left"/>
      <w:pPr>
        <w:ind w:left="6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741D0A">
      <w:start w:val="1"/>
      <w:numFmt w:val="bullet"/>
      <w:lvlText w:val="o"/>
      <w:lvlJc w:val="left"/>
      <w:pPr>
        <w:ind w:left="6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589E88">
      <w:start w:val="1"/>
      <w:numFmt w:val="bullet"/>
      <w:lvlText w:val="▪"/>
      <w:lvlJc w:val="left"/>
      <w:pPr>
        <w:ind w:left="7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0C7AA9"/>
    <w:multiLevelType w:val="multilevel"/>
    <w:tmpl w:val="13840F74"/>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1D58AE"/>
    <w:multiLevelType w:val="multilevel"/>
    <w:tmpl w:val="835E3A46"/>
    <w:lvl w:ilvl="0">
      <w:start w:val="1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0C3CC4"/>
    <w:multiLevelType w:val="hybridMultilevel"/>
    <w:tmpl w:val="B2FCEB34"/>
    <w:lvl w:ilvl="0" w:tplc="EE00214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B6DA2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FCF55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8C97B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B4CE2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CA441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04C0B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10926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12BFF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8A7678"/>
    <w:multiLevelType w:val="multilevel"/>
    <w:tmpl w:val="5D8E9E50"/>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D51E36"/>
    <w:multiLevelType w:val="multilevel"/>
    <w:tmpl w:val="7022341A"/>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642698"/>
    <w:multiLevelType w:val="hybridMultilevel"/>
    <w:tmpl w:val="AEB284FE"/>
    <w:lvl w:ilvl="0" w:tplc="A94EA3F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24F33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7004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DEB77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3ADC7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FADCD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3259B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C4D846">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54DFAC">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9A71B85"/>
    <w:multiLevelType w:val="hybridMultilevel"/>
    <w:tmpl w:val="C5BE8630"/>
    <w:lvl w:ilvl="0" w:tplc="7BFA9230">
      <w:start w:val="1"/>
      <w:numFmt w:val="decimal"/>
      <w:lvlText w:val="%1."/>
      <w:lvlJc w:val="left"/>
      <w:pPr>
        <w:ind w:left="47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DC4851C2">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068EC198">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9B162956">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53B6F5B4">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C4A80800">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4072A91E">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6E1EDEBA">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0AE42A80">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D1C3CC8"/>
    <w:multiLevelType w:val="hybridMultilevel"/>
    <w:tmpl w:val="E7FAF02E"/>
    <w:lvl w:ilvl="0" w:tplc="C83679E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36B4D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06D6A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A0438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80D55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66F96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0EC4C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921D5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521D2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3D7B54"/>
    <w:multiLevelType w:val="hybridMultilevel"/>
    <w:tmpl w:val="49D4B568"/>
    <w:lvl w:ilvl="0" w:tplc="F092D58A">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53CBB1E">
      <w:start w:val="1"/>
      <w:numFmt w:val="lowerLetter"/>
      <w:lvlText w:val="%2"/>
      <w:lvlJc w:val="left"/>
      <w:pPr>
        <w:ind w:left="13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0966466">
      <w:start w:val="1"/>
      <w:numFmt w:val="lowerRoman"/>
      <w:lvlText w:val="%3"/>
      <w:lvlJc w:val="left"/>
      <w:pPr>
        <w:ind w:left="21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A32D1AE">
      <w:start w:val="1"/>
      <w:numFmt w:val="decimal"/>
      <w:lvlText w:val="%4"/>
      <w:lvlJc w:val="left"/>
      <w:pPr>
        <w:ind w:left="28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26A08B8">
      <w:start w:val="1"/>
      <w:numFmt w:val="lowerLetter"/>
      <w:lvlText w:val="%5"/>
      <w:lvlJc w:val="left"/>
      <w:pPr>
        <w:ind w:left="35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EFAA8DE">
      <w:start w:val="1"/>
      <w:numFmt w:val="lowerRoman"/>
      <w:lvlText w:val="%6"/>
      <w:lvlJc w:val="left"/>
      <w:pPr>
        <w:ind w:left="4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51C3838">
      <w:start w:val="1"/>
      <w:numFmt w:val="decimal"/>
      <w:lvlText w:val="%7"/>
      <w:lvlJc w:val="left"/>
      <w:pPr>
        <w:ind w:left="49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644FBC4">
      <w:start w:val="1"/>
      <w:numFmt w:val="lowerLetter"/>
      <w:lvlText w:val="%8"/>
      <w:lvlJc w:val="left"/>
      <w:pPr>
        <w:ind w:left="57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D0E8B26">
      <w:start w:val="1"/>
      <w:numFmt w:val="lowerRoman"/>
      <w:lvlText w:val="%9"/>
      <w:lvlJc w:val="left"/>
      <w:pPr>
        <w:ind w:left="64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0170C5"/>
    <w:multiLevelType w:val="hybridMultilevel"/>
    <w:tmpl w:val="FEBADFAC"/>
    <w:lvl w:ilvl="0" w:tplc="5866D31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76F298">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A6A512">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C27A8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FC2140">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867B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CCC72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76016C">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C29594">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1E3E53"/>
    <w:multiLevelType w:val="hybridMultilevel"/>
    <w:tmpl w:val="73448F3E"/>
    <w:lvl w:ilvl="0" w:tplc="A3240FF6">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AA982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545F4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9E702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ECD93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3435B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02D53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F6C6C4">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0268E">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7E96CCD"/>
    <w:multiLevelType w:val="hybridMultilevel"/>
    <w:tmpl w:val="A65235FC"/>
    <w:lvl w:ilvl="0" w:tplc="93D4D0F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DA075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D2392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784F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4A2FE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22AA3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8227D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9AF74E">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805DAC">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1"/>
  </w:num>
  <w:num w:numId="3">
    <w:abstractNumId w:val="14"/>
  </w:num>
  <w:num w:numId="4">
    <w:abstractNumId w:val="8"/>
  </w:num>
  <w:num w:numId="5">
    <w:abstractNumId w:val="2"/>
  </w:num>
  <w:num w:numId="6">
    <w:abstractNumId w:val="4"/>
  </w:num>
  <w:num w:numId="7">
    <w:abstractNumId w:val="6"/>
  </w:num>
  <w:num w:numId="8">
    <w:abstractNumId w:val="0"/>
  </w:num>
  <w:num w:numId="9">
    <w:abstractNumId w:val="3"/>
  </w:num>
  <w:num w:numId="10">
    <w:abstractNumId w:val="7"/>
  </w:num>
  <w:num w:numId="11">
    <w:abstractNumId w:val="15"/>
  </w:num>
  <w:num w:numId="12">
    <w:abstractNumId w:val="1"/>
  </w:num>
  <w:num w:numId="13">
    <w:abstractNumId w:val="9"/>
  </w:num>
  <w:num w:numId="14">
    <w:abstractNumId w:val="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57B"/>
    <w:rsid w:val="00302BA9"/>
    <w:rsid w:val="00310D07"/>
    <w:rsid w:val="004F1717"/>
    <w:rsid w:val="007044FA"/>
    <w:rsid w:val="00AA3291"/>
    <w:rsid w:val="00BE757B"/>
    <w:rsid w:val="00F1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A356"/>
  <w15:chartTrackingRefBased/>
  <w15:docId w15:val="{DE87A987-9908-4CAD-8E79-3EC9289E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57B"/>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next w:val="Normal"/>
    <w:link w:val="Heading1Char"/>
    <w:uiPriority w:val="9"/>
    <w:unhideWhenUsed/>
    <w:qFormat/>
    <w:rsid w:val="00BE757B"/>
    <w:pPr>
      <w:keepNext/>
      <w:keepLines/>
      <w:numPr>
        <w:numId w:val="16"/>
      </w:numPr>
      <w:spacing w:after="3"/>
      <w:ind w:left="10"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57B"/>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1Char">
    <w:name w:val="Heading 1 Char"/>
    <w:basedOn w:val="DefaultParagraphFont"/>
    <w:link w:val="Heading1"/>
    <w:uiPriority w:val="9"/>
    <w:rsid w:val="00BE757B"/>
    <w:rPr>
      <w:rFonts w:ascii="Arial" w:eastAsia="Arial" w:hAnsi="Arial" w:cs="Arial"/>
      <w:b/>
      <w:color w:val="000000"/>
      <w:sz w:val="24"/>
      <w:lang w:eastAsia="en-GB"/>
    </w:rPr>
  </w:style>
  <w:style w:type="table" w:customStyle="1" w:styleId="TableGrid">
    <w:name w:val="TableGrid"/>
    <w:rsid w:val="00BE757B"/>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4F1717"/>
    <w:pPr>
      <w:tabs>
        <w:tab w:val="center" w:pos="4513"/>
        <w:tab w:val="right" w:pos="9026"/>
      </w:tabs>
    </w:pPr>
  </w:style>
  <w:style w:type="character" w:customStyle="1" w:styleId="HeaderChar">
    <w:name w:val="Header Char"/>
    <w:basedOn w:val="DefaultParagraphFont"/>
    <w:link w:val="Header"/>
    <w:uiPriority w:val="99"/>
    <w:rsid w:val="004F1717"/>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4F1717"/>
    <w:pPr>
      <w:tabs>
        <w:tab w:val="center" w:pos="4513"/>
        <w:tab w:val="right" w:pos="9026"/>
      </w:tabs>
    </w:pPr>
  </w:style>
  <w:style w:type="character" w:customStyle="1" w:styleId="FooterChar">
    <w:name w:val="Footer Char"/>
    <w:basedOn w:val="DefaultParagraphFont"/>
    <w:link w:val="Footer"/>
    <w:uiPriority w:val="99"/>
    <w:rsid w:val="004F171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reerswales.com/en/jobs-and-training/unemployment-and-redundancy/coping-with-redundancy/" TargetMode="External"/><Relationship Id="rId18" Type="http://schemas.openxmlformats.org/officeDocument/2006/relationships/hyperlink" Target="http://www.careerswales.com/en/jobs-and-training/unemployment-and-redundancy/coping-with-redundanc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reerswales.com/en/jobs-and-training/unemployment-and-redundancy/coping-with-redundancy/" TargetMode="External"/><Relationship Id="rId7" Type="http://schemas.openxmlformats.org/officeDocument/2006/relationships/image" Target="media/image1.png"/><Relationship Id="rId12" Type="http://schemas.openxmlformats.org/officeDocument/2006/relationships/hyperlink" Target="http://www.careerswales.com/en/jobs-and-training/unemployment-and-redundancy/coping-with-redundancy/" TargetMode="External"/><Relationship Id="rId17" Type="http://schemas.openxmlformats.org/officeDocument/2006/relationships/hyperlink" Target="http://www.careerswales.com/en/jobs-and-training/unemployment-and-redundancy/coping-with-redundanc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reerswales.com/en/jobs-and-training/unemployment-and-redundancy/coping-with-redundancy/" TargetMode="External"/><Relationship Id="rId20" Type="http://schemas.openxmlformats.org/officeDocument/2006/relationships/hyperlink" Target="http://www.careerswales.com/en/jobs-and-training/unemployment-and-redundancy/coping-with-redundan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eerswales.com/en/jobs-and-training/unemployment-and-redundancy/coping-with-redundanc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areerswales.com/en/jobs-and-training/unemployment-and-redundancy/coping-with-redundancy/" TargetMode="External"/><Relationship Id="rId23" Type="http://schemas.openxmlformats.org/officeDocument/2006/relationships/image" Target="media/image3.jpg"/><Relationship Id="rId10" Type="http://schemas.openxmlformats.org/officeDocument/2006/relationships/hyperlink" Target="http://www.careerswales.com/en/jobs-and-training/unemployment-and-redundancy/coping-with-redundancy/" TargetMode="External"/><Relationship Id="rId19" Type="http://schemas.openxmlformats.org/officeDocument/2006/relationships/hyperlink" Target="http://www.careerswales.com/en/jobs-and-training/unemployment-and-redundancy/coping-with-redundancy/" TargetMode="External"/><Relationship Id="rId4" Type="http://schemas.openxmlformats.org/officeDocument/2006/relationships/webSettings" Target="webSettings.xml"/><Relationship Id="rId9" Type="http://schemas.openxmlformats.org/officeDocument/2006/relationships/hyperlink" Target="http://www.careerswales.com/en/jobs-and-training/unemployment-and-redundancy/coping-with-redundancy/" TargetMode="External"/><Relationship Id="rId14" Type="http://schemas.openxmlformats.org/officeDocument/2006/relationships/hyperlink" Target="http://www.careerswales.com/en/jobs-and-training/unemployment-and-redundancy/coping-with-redundancy/" TargetMode="External"/><Relationship Id="rId22" Type="http://schemas.openxmlformats.org/officeDocument/2006/relationships/hyperlink" Target="http://www.careerswales.com/en/jobs-and-training/unemployment-and-redundancy/coping-with-redund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 Edwards (Ysgol Bro Cynllaith)</cp:lastModifiedBy>
  <cp:revision>2</cp:revision>
  <dcterms:created xsi:type="dcterms:W3CDTF">2021-02-11T10:30:00Z</dcterms:created>
  <dcterms:modified xsi:type="dcterms:W3CDTF">2021-05-25T09:52:00Z</dcterms:modified>
</cp:coreProperties>
</file>