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1815" w14:textId="287AC993" w:rsidR="00851398" w:rsidRPr="00F04DC2" w:rsidRDefault="00453256" w:rsidP="00F04DC2">
      <w:pPr>
        <w:spacing w:line="280" w:lineRule="exact"/>
        <w:rPr>
          <w:rFonts w:ascii="Arial" w:hAnsi="Arial" w:cs="Arial"/>
          <w:b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F04DC2">
        <w:rPr>
          <w:rFonts w:ascii="Arial" w:hAnsi="Arial" w:cs="Arial"/>
          <w:b/>
          <w:szCs w:val="24"/>
        </w:rPr>
        <w:t xml:space="preserve">Annex B: </w:t>
      </w:r>
      <w:r w:rsidR="003F2B25" w:rsidRPr="00F04DC2">
        <w:rPr>
          <w:rFonts w:ascii="Arial" w:hAnsi="Arial" w:cs="Arial"/>
          <w:b/>
          <w:szCs w:val="24"/>
        </w:rPr>
        <w:t>Pupil</w:t>
      </w:r>
      <w:r w:rsidR="00E24D59" w:rsidRPr="00F04DC2">
        <w:rPr>
          <w:rFonts w:ascii="Arial" w:hAnsi="Arial" w:cs="Arial"/>
          <w:b/>
          <w:szCs w:val="24"/>
        </w:rPr>
        <w:t xml:space="preserve"> </w:t>
      </w:r>
      <w:r w:rsidR="003F2B25" w:rsidRPr="00F04DC2">
        <w:rPr>
          <w:rFonts w:ascii="Arial" w:hAnsi="Arial" w:cs="Arial"/>
          <w:b/>
          <w:szCs w:val="24"/>
        </w:rPr>
        <w:t>Development Grant Strategy Statement</w:t>
      </w:r>
    </w:p>
    <w:p w14:paraId="5012AC27" w14:textId="77777777" w:rsidR="00E12F81" w:rsidRPr="006435B8" w:rsidRDefault="00E12F81" w:rsidP="00E12F81">
      <w:pPr>
        <w:rPr>
          <w:rFonts w:ascii="Arial" w:hAnsi="Arial" w:cs="Arial"/>
          <w:szCs w:val="24"/>
        </w:rPr>
      </w:pPr>
    </w:p>
    <w:p w14:paraId="77633BCA" w14:textId="79BECD9D" w:rsidR="00E12F81" w:rsidRDefault="00E12F81" w:rsidP="009250E9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From 2022-2023 schools will need to complete and publish </w:t>
      </w:r>
      <w:r w:rsidR="007336D5" w:rsidRPr="006435B8">
        <w:rPr>
          <w:rFonts w:ascii="Arial" w:hAnsi="Arial" w:cs="Arial"/>
          <w:szCs w:val="24"/>
        </w:rPr>
        <w:t>a statement on their PDG strategy. This can be seen below.</w:t>
      </w:r>
    </w:p>
    <w:p w14:paraId="27E2F0CE" w14:textId="483CD08C" w:rsidR="00AA1B74" w:rsidRDefault="00AA1B74" w:rsidP="009250E9">
      <w:pPr>
        <w:rPr>
          <w:rFonts w:ascii="Arial" w:hAnsi="Arial" w:cs="Arial"/>
          <w:szCs w:val="24"/>
        </w:rPr>
      </w:pPr>
    </w:p>
    <w:p w14:paraId="60197029" w14:textId="0C30A4AD" w:rsidR="00AA1B74" w:rsidRPr="006435B8" w:rsidRDefault="00AA1B74" w:rsidP="009250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 2022-2023 the consortium will also be required to publish a statement on its EYPDG strategy for non-maintained settings delivering funded early education.  This </w:t>
      </w:r>
      <w:r w:rsidR="00334D4B">
        <w:rPr>
          <w:rFonts w:ascii="Arial" w:hAnsi="Arial" w:cs="Arial"/>
          <w:szCs w:val="24"/>
        </w:rPr>
        <w:t>should</w:t>
      </w:r>
      <w:r>
        <w:rPr>
          <w:rFonts w:ascii="Arial" w:hAnsi="Arial" w:cs="Arial"/>
          <w:szCs w:val="24"/>
        </w:rPr>
        <w:t xml:space="preserve"> follow the same format as the </w:t>
      </w:r>
      <w:r w:rsidR="00EF5523">
        <w:rPr>
          <w:rFonts w:ascii="Arial" w:hAnsi="Arial" w:cs="Arial"/>
          <w:szCs w:val="24"/>
        </w:rPr>
        <w:t>school’s</w:t>
      </w:r>
      <w:r>
        <w:rPr>
          <w:rFonts w:ascii="Arial" w:hAnsi="Arial" w:cs="Arial"/>
          <w:szCs w:val="24"/>
        </w:rPr>
        <w:t xml:space="preserve"> template below.</w:t>
      </w:r>
    </w:p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189CD383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 xml:space="preserve">for the 2022 to 2023 academic year. </w:t>
      </w:r>
    </w:p>
    <w:p w14:paraId="099416B1" w14:textId="40D44991"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5"/>
        <w:gridCol w:w="2567"/>
      </w:tblGrid>
      <w:tr w:rsidR="006435B8" w:rsidRPr="006435B8" w14:paraId="1DEF01A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1DDD756E" w:rsidR="00851398" w:rsidRPr="006435B8" w:rsidRDefault="004922EF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Ysgol Bro Cynllaith</w:t>
            </w:r>
          </w:p>
        </w:tc>
      </w:tr>
      <w:tr w:rsidR="006435B8" w:rsidRPr="006435B8" w14:paraId="09219A9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09B3CAAE" w:rsidR="00851398" w:rsidRPr="006435B8" w:rsidRDefault="004922EF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27</w:t>
            </w:r>
          </w:p>
        </w:tc>
      </w:tr>
      <w:tr w:rsidR="006435B8" w:rsidRPr="006435B8" w14:paraId="7D2474CC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4C37F170" w:rsidR="00851398" w:rsidRPr="006435B8" w:rsidRDefault="00E83094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22%</w:t>
            </w:r>
          </w:p>
        </w:tc>
      </w:tr>
      <w:tr w:rsidR="006435B8" w:rsidRPr="006435B8" w14:paraId="7AD69607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587C780E" w:rsidR="006435B8" w:rsidRPr="006435B8" w:rsidRDefault="00AC2B9E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19/01/23</w:t>
            </w:r>
          </w:p>
        </w:tc>
      </w:tr>
      <w:tr w:rsidR="006435B8" w:rsidRPr="006435B8" w14:paraId="7F5670AB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03282A0C" w:rsidR="006435B8" w:rsidRPr="006435B8" w:rsidRDefault="00A02F2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June 2023</w:t>
            </w:r>
          </w:p>
        </w:tc>
      </w:tr>
      <w:tr w:rsidR="006435B8" w:rsidRPr="006435B8" w14:paraId="111A940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0A2504B1" w:rsidR="006435B8" w:rsidRPr="006435B8" w:rsidRDefault="00A02F2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Governing Body</w:t>
            </w:r>
          </w:p>
        </w:tc>
      </w:tr>
      <w:tr w:rsidR="006435B8" w:rsidRPr="006435B8" w14:paraId="2979F42D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362B03D0" w:rsidR="006435B8" w:rsidRPr="006435B8" w:rsidRDefault="00533B9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 M Jones</w:t>
            </w:r>
          </w:p>
        </w:tc>
      </w:tr>
      <w:tr w:rsidR="006435B8" w:rsidRPr="006435B8" w14:paraId="380CE9B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proofErr w:type="gramStart"/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  <w:proofErr w:type="gramEnd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226098BE" w:rsidR="006435B8" w:rsidRPr="006435B8" w:rsidRDefault="00043F2E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 Chedgzoy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7777777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14BC09CC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59461D">
              <w:rPr>
                <w:rFonts w:cs="Arial"/>
                <w:color w:val="auto"/>
              </w:rPr>
              <w:t>2300</w:t>
            </w:r>
          </w:p>
        </w:tc>
      </w:tr>
      <w:tr w:rsidR="006435B8" w:rsidRPr="006435B8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4AF4FC3C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1AFC7CF5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59461D">
              <w:rPr>
                <w:rFonts w:cs="Arial"/>
                <w:color w:val="auto"/>
              </w:rPr>
              <w:t>2300</w:t>
            </w:r>
          </w:p>
        </w:tc>
      </w:tr>
    </w:tbl>
    <w:p w14:paraId="46110FEC" w14:textId="5B835B61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lastRenderedPageBreak/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179CAD93" w14:textId="59556DCE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6435B8" w:rsidRPr="006435B8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B823" w14:textId="77777777" w:rsidR="00F67356" w:rsidRPr="006435B8" w:rsidRDefault="00F67356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14:paraId="67728CEB" w14:textId="415E1EE6" w:rsidR="00851398" w:rsidRPr="00514554" w:rsidRDefault="000375D0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 w:rsidRPr="00514554">
              <w:rPr>
                <w:rFonts w:ascii="Arial" w:hAnsi="Arial" w:cs="Arial"/>
                <w:szCs w:val="24"/>
              </w:rPr>
              <w:t>To support those learners who are entitled to ‘Free School Meals’</w:t>
            </w:r>
            <w:r w:rsidR="004B40C6" w:rsidRPr="00514554">
              <w:rPr>
                <w:rFonts w:ascii="Arial" w:hAnsi="Arial" w:cs="Arial"/>
                <w:szCs w:val="24"/>
              </w:rPr>
              <w:t xml:space="preserve"> (FSM)</w:t>
            </w:r>
          </w:p>
          <w:p w14:paraId="52D42842" w14:textId="05B6E45F" w:rsidR="00947A2C" w:rsidRPr="00514554" w:rsidRDefault="00947A2C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 w:rsidRPr="00514554">
              <w:rPr>
                <w:rFonts w:ascii="Arial" w:hAnsi="Arial" w:cs="Arial"/>
                <w:szCs w:val="24"/>
              </w:rPr>
              <w:t>The Pupil Development Grant (LAC) is aimed at supporting those who are in the care system and those who are known to be adopted.</w:t>
            </w:r>
          </w:p>
          <w:p w14:paraId="5CE13C57" w14:textId="63436301" w:rsidR="00851398" w:rsidRPr="006435B8" w:rsidRDefault="00F5363D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514554">
              <w:rPr>
                <w:rFonts w:ascii="Arial" w:hAnsi="Arial" w:cs="Arial"/>
                <w:szCs w:val="24"/>
              </w:rPr>
              <w:t>The purpose of the PDG is to improve outcomes for learners eligible for free school meals</w:t>
            </w:r>
            <w:r w:rsidR="00514554" w:rsidRPr="00514554">
              <w:rPr>
                <w:rFonts w:ascii="Arial" w:hAnsi="Arial" w:cs="Arial"/>
                <w:szCs w:val="24"/>
              </w:rPr>
              <w:t xml:space="preserve"> and Looked After Children (LAC). It is intended to overcome the additional barriers that prevent learners from disadvantaged backgrounds achieving their full potential.</w:t>
            </w:r>
          </w:p>
        </w:tc>
      </w:tr>
    </w:tbl>
    <w:p w14:paraId="2E0C3BCF" w14:textId="3D62624F" w:rsidR="00F67356" w:rsidRDefault="00851398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4" w:name="_Toc443397160"/>
      <w:r w:rsidRPr="006435B8">
        <w:rPr>
          <w:rFonts w:ascii="Arial" w:hAnsi="Arial" w:cs="Arial"/>
          <w:sz w:val="24"/>
          <w:szCs w:val="24"/>
        </w:rPr>
        <w:t xml:space="preserve">Intended </w:t>
      </w:r>
      <w:r w:rsidR="00F67356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0E15301" w14:textId="77777777" w:rsidR="00F67356" w:rsidRPr="00EE1B63" w:rsidRDefault="00F67356" w:rsidP="00EE1B63"/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4090"/>
      </w:tblGrid>
      <w:tr w:rsidR="006435B8" w:rsidRPr="006435B8" w14:paraId="714D4E4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5B5C6E05" w:rsidR="00851398" w:rsidRPr="006435B8" w:rsidRDefault="007C3A8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Teaching and learning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393C" w14:textId="210664D2" w:rsidR="00851398" w:rsidRPr="006435B8" w:rsidRDefault="00E36E7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Most pupils will make expected or more than expected progress in all areas of learning</w:t>
            </w:r>
          </w:p>
        </w:tc>
      </w:tr>
      <w:tr w:rsidR="006435B8" w:rsidRPr="006435B8" w14:paraId="569F6A6A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7ED0D6FA" w:rsidR="00851398" w:rsidRPr="006435B8" w:rsidRDefault="007C3A8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Wellbeing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3486171F" w:rsidR="00851398" w:rsidRPr="006435B8" w:rsidRDefault="00E36E7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Nearly all pupils will demonstrate improved wellbeing following ELSA support.</w:t>
            </w:r>
          </w:p>
        </w:tc>
      </w:tr>
      <w:tr w:rsidR="006435B8" w:rsidRPr="006435B8" w14:paraId="1645EFF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490E7FF9" w:rsidR="00851398" w:rsidRPr="006435B8" w:rsidRDefault="007C3A8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Family and Community Engagement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3098" w14:textId="0999B570" w:rsidR="009644E6" w:rsidRPr="006435B8" w:rsidRDefault="00E36E72" w:rsidP="009644E6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Nearly all pupils will attend school wearing the correct uniform</w:t>
            </w:r>
            <w:r w:rsidR="009644E6">
              <w:rPr>
                <w:rFonts w:cs="Arial"/>
                <w:color w:val="auto"/>
                <w:szCs w:val="24"/>
              </w:rPr>
              <w:t>.</w:t>
            </w:r>
          </w:p>
        </w:tc>
      </w:tr>
      <w:tr w:rsidR="006435B8" w:rsidRPr="006435B8" w14:paraId="17EC4792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74A" w14:textId="72BB9C19" w:rsidR="00851398" w:rsidRPr="006435B8" w:rsidRDefault="007C3A8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Wider Curriculum Experiences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122" w14:textId="07850A95" w:rsidR="006A0E31" w:rsidRDefault="00781949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All pupils attend Residential visit to the Urdd outdoor centre at </w:t>
            </w:r>
            <w:proofErr w:type="spellStart"/>
            <w:proofErr w:type="gramStart"/>
            <w:r>
              <w:rPr>
                <w:rFonts w:cs="Arial"/>
                <w:color w:val="auto"/>
                <w:szCs w:val="24"/>
              </w:rPr>
              <w:t>Glanllyn</w:t>
            </w:r>
            <w:proofErr w:type="spellEnd"/>
            <w:proofErr w:type="gramEnd"/>
          </w:p>
          <w:p w14:paraId="15F3BA51" w14:textId="36B21F2C" w:rsidR="00E36E72" w:rsidRDefault="00E36E72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More pupils will have private musical instrument lessons.</w:t>
            </w:r>
          </w:p>
          <w:p w14:paraId="42F36683" w14:textId="77777777" w:rsidR="00851398" w:rsidRDefault="006A0E31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Improved attendance at </w:t>
            </w:r>
            <w:proofErr w:type="spellStart"/>
            <w:r>
              <w:rPr>
                <w:rFonts w:cs="Arial"/>
                <w:color w:val="auto"/>
                <w:szCs w:val="24"/>
              </w:rPr>
              <w:t>Clwb</w:t>
            </w:r>
            <w:proofErr w:type="spellEnd"/>
            <w:r>
              <w:rPr>
                <w:rFonts w:cs="Arial"/>
                <w:color w:val="auto"/>
                <w:szCs w:val="24"/>
              </w:rPr>
              <w:t xml:space="preserve"> Cynllaith After School Club</w:t>
            </w:r>
            <w:r w:rsidR="00781949">
              <w:rPr>
                <w:rFonts w:cs="Arial"/>
                <w:color w:val="auto"/>
                <w:szCs w:val="24"/>
              </w:rPr>
              <w:t xml:space="preserve"> </w:t>
            </w:r>
          </w:p>
          <w:p w14:paraId="2D0E47FC" w14:textId="65408BBB" w:rsidR="009644E6" w:rsidRPr="006435B8" w:rsidRDefault="009644E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All pupils will attend </w:t>
            </w:r>
            <w:r>
              <w:rPr>
                <w:rFonts w:cs="Arial"/>
                <w:color w:val="auto"/>
                <w:szCs w:val="24"/>
              </w:rPr>
              <w:t xml:space="preserve">school </w:t>
            </w:r>
            <w:r>
              <w:rPr>
                <w:rFonts w:cs="Arial"/>
                <w:color w:val="auto"/>
                <w:szCs w:val="24"/>
              </w:rPr>
              <w:t>trips</w:t>
            </w:r>
          </w:p>
        </w:tc>
      </w:tr>
    </w:tbl>
    <w:p w14:paraId="5E826848" w14:textId="77777777" w:rsidR="00126E97" w:rsidRDefault="00126E97" w:rsidP="00126E97"/>
    <w:p w14:paraId="6815C4D2" w14:textId="77777777" w:rsidR="009644E6" w:rsidRDefault="009644E6" w:rsidP="00126E97">
      <w:pPr>
        <w:rPr>
          <w:rFonts w:ascii="Arial" w:hAnsi="Arial" w:cs="Arial"/>
          <w:b/>
        </w:rPr>
      </w:pPr>
    </w:p>
    <w:p w14:paraId="178F55BB" w14:textId="77777777" w:rsidR="009644E6" w:rsidRDefault="009644E6" w:rsidP="00126E97">
      <w:pPr>
        <w:rPr>
          <w:rFonts w:ascii="Arial" w:hAnsi="Arial" w:cs="Arial"/>
          <w:b/>
        </w:rPr>
      </w:pPr>
    </w:p>
    <w:p w14:paraId="3F6C4E0B" w14:textId="77777777" w:rsidR="009644E6" w:rsidRDefault="009644E6" w:rsidP="00126E97">
      <w:pPr>
        <w:rPr>
          <w:rFonts w:ascii="Arial" w:hAnsi="Arial" w:cs="Arial"/>
          <w:b/>
        </w:rPr>
      </w:pPr>
    </w:p>
    <w:p w14:paraId="08CAD15A" w14:textId="77777777" w:rsidR="009644E6" w:rsidRDefault="009644E6" w:rsidP="00126E97">
      <w:pPr>
        <w:rPr>
          <w:rFonts w:ascii="Arial" w:hAnsi="Arial" w:cs="Arial"/>
          <w:b/>
        </w:rPr>
      </w:pPr>
    </w:p>
    <w:p w14:paraId="67B54480" w14:textId="77777777" w:rsidR="009644E6" w:rsidRDefault="009644E6" w:rsidP="00126E97">
      <w:pPr>
        <w:rPr>
          <w:rFonts w:ascii="Arial" w:hAnsi="Arial" w:cs="Arial"/>
          <w:b/>
        </w:rPr>
      </w:pPr>
    </w:p>
    <w:p w14:paraId="381EF17B" w14:textId="77777777" w:rsidR="009644E6" w:rsidRDefault="009644E6" w:rsidP="00126E97">
      <w:pPr>
        <w:rPr>
          <w:rFonts w:ascii="Arial" w:hAnsi="Arial" w:cs="Arial"/>
          <w:b/>
        </w:rPr>
      </w:pPr>
    </w:p>
    <w:p w14:paraId="4D6135A6" w14:textId="77777777" w:rsidR="009644E6" w:rsidRDefault="009644E6" w:rsidP="00126E97">
      <w:pPr>
        <w:rPr>
          <w:rFonts w:ascii="Arial" w:hAnsi="Arial" w:cs="Arial"/>
          <w:b/>
        </w:rPr>
      </w:pPr>
    </w:p>
    <w:p w14:paraId="2465EEA1" w14:textId="77777777" w:rsidR="009644E6" w:rsidRDefault="009644E6" w:rsidP="00126E97">
      <w:pPr>
        <w:rPr>
          <w:rFonts w:ascii="Arial" w:hAnsi="Arial" w:cs="Arial"/>
          <w:b/>
        </w:rPr>
      </w:pPr>
    </w:p>
    <w:p w14:paraId="4BE76D7E" w14:textId="25540C3B"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lastRenderedPageBreak/>
        <w:t>Activity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6E946899" w14:textId="587C798D" w:rsidR="00E36E72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</w:t>
      </w:r>
      <w:proofErr w:type="gramStart"/>
      <w:r w:rsidRPr="006435B8">
        <w:rPr>
          <w:rFonts w:ascii="Arial" w:hAnsi="Arial" w:cs="Arial"/>
          <w:szCs w:val="24"/>
        </w:rPr>
        <w:t>above</w:t>
      </w:r>
      <w:proofErr w:type="gramEnd"/>
    </w:p>
    <w:p w14:paraId="7504E0E6" w14:textId="10B18E21"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06A64A01" w14:textId="77777777" w:rsidR="00F67356" w:rsidRPr="00EE1B63" w:rsidRDefault="00F67356" w:rsidP="00EE1B63"/>
    <w:p w14:paraId="5734D3A3" w14:textId="7B521035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E36E72">
        <w:rPr>
          <w:rFonts w:ascii="Arial" w:hAnsi="Arial" w:cs="Arial"/>
          <w:i/>
          <w:iCs/>
          <w:szCs w:val="24"/>
        </w:rPr>
        <w:t>1000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1B10B3" w:rsidRPr="006435B8" w14:paraId="31F93CC9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20CEC68E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0E5B2FC8" w:rsidR="001B10B3" w:rsidRPr="006435B8" w:rsidRDefault="00E36E72" w:rsidP="00E36E72">
            <w:pPr>
              <w:pStyle w:val="TableRow"/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TA support within the classroom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57091D07" w:rsidR="001B10B3" w:rsidRPr="006435B8" w:rsidRDefault="009644E6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Moderate to high impact for moderate cost.</w:t>
            </w:r>
          </w:p>
        </w:tc>
      </w:tr>
      <w:tr w:rsidR="001B10B3" w:rsidRPr="006435B8" w14:paraId="0F435C62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041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012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63BC830" w14:textId="77777777"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483AF16F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60EF04B3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5E7B8FD5" w14:textId="4C943C24" w:rsidR="00851398" w:rsidRDefault="00851398" w:rsidP="00851398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Community Schools </w:t>
      </w:r>
    </w:p>
    <w:p w14:paraId="6DD4073E" w14:textId="77777777" w:rsidR="00F67356" w:rsidRPr="006435B8" w:rsidRDefault="00F67356" w:rsidP="00851398">
      <w:pPr>
        <w:rPr>
          <w:rFonts w:ascii="Arial" w:hAnsi="Arial" w:cs="Arial"/>
          <w:b/>
          <w:bCs/>
          <w:szCs w:val="24"/>
        </w:rPr>
      </w:pPr>
    </w:p>
    <w:p w14:paraId="4549D9A3" w14:textId="709A35B4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9644E6">
        <w:rPr>
          <w:rFonts w:ascii="Arial" w:hAnsi="Arial" w:cs="Arial"/>
          <w:szCs w:val="24"/>
        </w:rPr>
        <w:t>500</w:t>
      </w:r>
    </w:p>
    <w:p w14:paraId="3E3B59D2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1B10B3" w:rsidRPr="006435B8" w14:paraId="49D972F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456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414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7D7389A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132" w14:textId="1F32968F" w:rsidR="001B10B3" w:rsidRPr="006435B8" w:rsidRDefault="00E36E7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provide fair access to </w:t>
            </w:r>
            <w:proofErr w:type="spellStart"/>
            <w:r>
              <w:rPr>
                <w:rFonts w:cs="Arial"/>
                <w:color w:val="auto"/>
              </w:rPr>
              <w:t>Clwb</w:t>
            </w:r>
            <w:proofErr w:type="spellEnd"/>
            <w:r>
              <w:rPr>
                <w:rFonts w:cs="Arial"/>
                <w:color w:val="auto"/>
              </w:rPr>
              <w:t xml:space="preserve"> Cynllaith After School Club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A7A" w14:textId="1BCCC187" w:rsidR="001B10B3" w:rsidRPr="006435B8" w:rsidRDefault="003F6BB4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High</w:t>
            </w:r>
            <w:r w:rsidR="00E36E72">
              <w:rPr>
                <w:rFonts w:cs="Arial"/>
                <w:color w:val="auto"/>
                <w:szCs w:val="24"/>
              </w:rPr>
              <w:t xml:space="preserve"> impact for moderate cost</w:t>
            </w:r>
          </w:p>
        </w:tc>
      </w:tr>
      <w:tr w:rsidR="001B10B3" w:rsidRPr="006435B8" w14:paraId="568AAA82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9B6C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5587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0BC2514" w14:textId="77777777"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14:paraId="6CE740A9" w14:textId="7E397512"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7EA88FC6" w14:textId="0D994CD9" w:rsidR="00851398" w:rsidRPr="006435B8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9644E6">
        <w:rPr>
          <w:rFonts w:ascii="Arial" w:hAnsi="Arial" w:cs="Arial"/>
          <w:i/>
          <w:iCs/>
          <w:szCs w:val="24"/>
        </w:rPr>
        <w:t>800</w:t>
      </w: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1B10B3" w:rsidRPr="006435B8" w14:paraId="0F32DFAF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0A4D775C" w:rsidR="001B10B3" w:rsidRPr="006435B8" w:rsidRDefault="009644E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Access to music tuition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76A1DAC5" w:rsidR="001B10B3" w:rsidRPr="006435B8" w:rsidRDefault="003F6BB4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High</w:t>
            </w:r>
            <w:r w:rsidR="009644E6">
              <w:rPr>
                <w:rFonts w:cs="Arial"/>
                <w:color w:val="auto"/>
                <w:szCs w:val="24"/>
              </w:rPr>
              <w:t xml:space="preserve"> impact for moderate cost</w:t>
            </w:r>
          </w:p>
        </w:tc>
      </w:tr>
      <w:tr w:rsidR="001B10B3" w:rsidRPr="006435B8" w14:paraId="5D3810DB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F0F" w14:textId="20EF6675" w:rsidR="001B10B3" w:rsidRPr="003F6BB4" w:rsidRDefault="003F6BB4" w:rsidP="00643259">
            <w:pPr>
              <w:pStyle w:val="TableRow"/>
              <w:rPr>
                <w:rFonts w:cs="Arial"/>
                <w:iCs/>
                <w:color w:val="auto"/>
              </w:rPr>
            </w:pPr>
            <w:r w:rsidRPr="003F6BB4">
              <w:rPr>
                <w:rFonts w:cs="Arial"/>
                <w:iCs/>
                <w:color w:val="auto"/>
              </w:rPr>
              <w:t>Access to residential and other trips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A14" w14:textId="0354B936" w:rsidR="001B10B3" w:rsidRPr="006435B8" w:rsidRDefault="003F6BB4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High impact for moderate cost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4EC32FBE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="009644E6">
        <w:rPr>
          <w:rFonts w:ascii="Arial" w:hAnsi="Arial" w:cs="Arial"/>
          <w:i/>
          <w:iCs/>
          <w:szCs w:val="24"/>
        </w:rPr>
        <w:t>2300</w:t>
      </w:r>
    </w:p>
    <w:p w14:paraId="10F5DC99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lastRenderedPageBreak/>
        <w:t>Part B: Review of outcomes in the previous academic year</w:t>
      </w:r>
    </w:p>
    <w:p w14:paraId="431C9453" w14:textId="77777777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3A731D94" w14:textId="64520A82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the impact that our PDG activity had on pupils in the 2020 to 2021 academic year. </w:t>
      </w:r>
    </w:p>
    <w:p w14:paraId="3A69F86B" w14:textId="0E6BED87" w:rsidR="003F6BB4" w:rsidRDefault="003F6BB4" w:rsidP="00851398">
      <w:pPr>
        <w:rPr>
          <w:rFonts w:ascii="Arial" w:hAnsi="Arial" w:cs="Arial"/>
          <w:szCs w:val="24"/>
        </w:rPr>
      </w:pPr>
    </w:p>
    <w:p w14:paraId="5D84008D" w14:textId="7ECA6C92" w:rsidR="003F6BB4" w:rsidRDefault="003F6BB4" w:rsidP="008513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PDG ensured that all pupils accessed all the school trips.</w:t>
      </w:r>
    </w:p>
    <w:p w14:paraId="36B417B3" w14:textId="442CF5E9" w:rsidR="003F6BB4" w:rsidRDefault="003F6BB4" w:rsidP="008513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More pupils came to school wearing the correct uniform.</w:t>
      </w:r>
    </w:p>
    <w:p w14:paraId="0BE2D7C5" w14:textId="5F78AF12" w:rsidR="003F6BB4" w:rsidRPr="006435B8" w:rsidRDefault="003F6BB4" w:rsidP="008513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Attendance improved compared to the national average.</w:t>
      </w:r>
    </w:p>
    <w:p w14:paraId="6D42800B" w14:textId="05F19034" w:rsidR="00851398" w:rsidRDefault="00851398" w:rsidP="00851398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Externally provided </w:t>
      </w:r>
      <w:proofErr w:type="gramStart"/>
      <w:r w:rsidRPr="006435B8">
        <w:rPr>
          <w:rFonts w:ascii="Arial" w:hAnsi="Arial" w:cs="Arial"/>
          <w:sz w:val="24"/>
          <w:szCs w:val="24"/>
        </w:rPr>
        <w:t>programmes</w:t>
      </w:r>
      <w:proofErr w:type="gramEnd"/>
    </w:p>
    <w:p w14:paraId="1F35D63C" w14:textId="77777777" w:rsidR="00F67356" w:rsidRPr="00EE1B63" w:rsidRDefault="00F67356" w:rsidP="00EE1B63"/>
    <w:p w14:paraId="2B371890" w14:textId="6F68903D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i/>
          <w:iCs/>
          <w:szCs w:val="24"/>
        </w:rPr>
        <w:t>Please include the names of any programmes that you purchased in the previous academic year. This will help us identify which ones are popular in Wales.</w:t>
      </w:r>
    </w:p>
    <w:p w14:paraId="19726933" w14:textId="77777777"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4059"/>
      </w:tblGrid>
      <w:tr w:rsidR="00851398" w:rsidRPr="006435B8" w14:paraId="3A273796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851398" w:rsidRPr="006435B8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782D4DF9" w:rsidR="00851398" w:rsidRPr="006435B8" w:rsidRDefault="003F6BB4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Dyslexia Quest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395F4BAA" w:rsidR="00851398" w:rsidRPr="006435B8" w:rsidRDefault="003F6BB4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proofErr w:type="spellStart"/>
            <w:r>
              <w:rPr>
                <w:rFonts w:cs="Arial"/>
                <w:color w:val="auto"/>
                <w:szCs w:val="24"/>
              </w:rPr>
              <w:t>Nessy</w:t>
            </w:r>
            <w:proofErr w:type="spellEnd"/>
          </w:p>
        </w:tc>
      </w:tr>
      <w:tr w:rsidR="00851398" w:rsidRPr="006435B8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0F185978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bookmarkEnd w:id="12"/>
    <w:bookmarkEnd w:id="13"/>
    <w:bookmarkEnd w:id="14"/>
    <w:p w14:paraId="7A161703" w14:textId="77777777" w:rsidR="00F67356" w:rsidRDefault="00F67356">
      <w:pPr>
        <w:rPr>
          <w:rFonts w:ascii="Arial" w:hAnsi="Arial" w:cs="Arial"/>
          <w:b/>
          <w:bCs/>
          <w:kern w:val="32"/>
          <w:szCs w:val="24"/>
        </w:rPr>
      </w:pPr>
      <w:r>
        <w:rPr>
          <w:rFonts w:ascii="Arial" w:hAnsi="Arial" w:cs="Arial"/>
          <w:szCs w:val="24"/>
        </w:rPr>
        <w:br w:type="page"/>
      </w:r>
    </w:p>
    <w:sectPr w:rsidR="00F67356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7363" w14:textId="77777777" w:rsidR="00BF0FC5" w:rsidRDefault="00BF0FC5">
      <w:r>
        <w:separator/>
      </w:r>
    </w:p>
  </w:endnote>
  <w:endnote w:type="continuationSeparator" w:id="0">
    <w:p w14:paraId="49114702" w14:textId="77777777" w:rsidR="00BF0FC5" w:rsidRDefault="00BF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837" w14:textId="7F2C26F2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C2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ADCC" w14:textId="77777777" w:rsidR="00BF0FC5" w:rsidRDefault="00BF0FC5">
      <w:r>
        <w:separator/>
      </w:r>
    </w:p>
  </w:footnote>
  <w:footnote w:type="continuationSeparator" w:id="0">
    <w:p w14:paraId="29486B4C" w14:textId="77777777" w:rsidR="00BF0FC5" w:rsidRDefault="00BF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2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2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442923">
    <w:abstractNumId w:val="11"/>
  </w:num>
  <w:num w:numId="2" w16cid:durableId="827019420">
    <w:abstractNumId w:val="31"/>
  </w:num>
  <w:num w:numId="3" w16cid:durableId="299770376">
    <w:abstractNumId w:val="36"/>
  </w:num>
  <w:num w:numId="4" w16cid:durableId="1189175004">
    <w:abstractNumId w:val="16"/>
  </w:num>
  <w:num w:numId="5" w16cid:durableId="150799906">
    <w:abstractNumId w:val="6"/>
  </w:num>
  <w:num w:numId="6" w16cid:durableId="1213924944">
    <w:abstractNumId w:val="12"/>
  </w:num>
  <w:num w:numId="7" w16cid:durableId="746658005">
    <w:abstractNumId w:val="33"/>
  </w:num>
  <w:num w:numId="8" w16cid:durableId="1724599753">
    <w:abstractNumId w:val="25"/>
  </w:num>
  <w:num w:numId="9" w16cid:durableId="265230520">
    <w:abstractNumId w:val="18"/>
  </w:num>
  <w:num w:numId="10" w16cid:durableId="1441410163">
    <w:abstractNumId w:val="8"/>
  </w:num>
  <w:num w:numId="11" w16cid:durableId="468859206">
    <w:abstractNumId w:val="18"/>
  </w:num>
  <w:num w:numId="12" w16cid:durableId="1733118891">
    <w:abstractNumId w:val="4"/>
  </w:num>
  <w:num w:numId="13" w16cid:durableId="2145999409">
    <w:abstractNumId w:val="4"/>
  </w:num>
  <w:num w:numId="14" w16cid:durableId="2069497753">
    <w:abstractNumId w:val="35"/>
  </w:num>
  <w:num w:numId="15" w16cid:durableId="2008752869">
    <w:abstractNumId w:val="0"/>
  </w:num>
  <w:num w:numId="16" w16cid:durableId="55051653">
    <w:abstractNumId w:val="23"/>
  </w:num>
  <w:num w:numId="17" w16cid:durableId="430049990">
    <w:abstractNumId w:val="1"/>
  </w:num>
  <w:num w:numId="18" w16cid:durableId="957224058">
    <w:abstractNumId w:val="19"/>
  </w:num>
  <w:num w:numId="19" w16cid:durableId="2030446203">
    <w:abstractNumId w:val="21"/>
  </w:num>
  <w:num w:numId="20" w16cid:durableId="421949975">
    <w:abstractNumId w:val="10"/>
  </w:num>
  <w:num w:numId="21" w16cid:durableId="1985622404">
    <w:abstractNumId w:val="24"/>
  </w:num>
  <w:num w:numId="22" w16cid:durableId="773980221">
    <w:abstractNumId w:val="17"/>
  </w:num>
  <w:num w:numId="23" w16cid:durableId="297732200">
    <w:abstractNumId w:val="32"/>
  </w:num>
  <w:num w:numId="24" w16cid:durableId="1544559058">
    <w:abstractNumId w:val="22"/>
  </w:num>
  <w:num w:numId="25" w16cid:durableId="944775730">
    <w:abstractNumId w:val="27"/>
  </w:num>
  <w:num w:numId="26" w16cid:durableId="1173640547">
    <w:abstractNumId w:val="28"/>
  </w:num>
  <w:num w:numId="27" w16cid:durableId="1219439957">
    <w:abstractNumId w:val="7"/>
  </w:num>
  <w:num w:numId="28" w16cid:durableId="1377857079">
    <w:abstractNumId w:val="14"/>
  </w:num>
  <w:num w:numId="29" w16cid:durableId="762607935">
    <w:abstractNumId w:val="15"/>
  </w:num>
  <w:num w:numId="30" w16cid:durableId="1012925016">
    <w:abstractNumId w:val="26"/>
  </w:num>
  <w:num w:numId="31" w16cid:durableId="820315995">
    <w:abstractNumId w:val="2"/>
  </w:num>
  <w:num w:numId="32" w16cid:durableId="1932814227">
    <w:abstractNumId w:val="29"/>
  </w:num>
  <w:num w:numId="33" w16cid:durableId="849492419">
    <w:abstractNumId w:val="20"/>
  </w:num>
  <w:num w:numId="34" w16cid:durableId="125393139">
    <w:abstractNumId w:val="3"/>
  </w:num>
  <w:num w:numId="35" w16cid:durableId="1477844898">
    <w:abstractNumId w:val="34"/>
  </w:num>
  <w:num w:numId="36" w16cid:durableId="1786266487">
    <w:abstractNumId w:val="9"/>
  </w:num>
  <w:num w:numId="37" w16cid:durableId="718936959">
    <w:abstractNumId w:val="13"/>
  </w:num>
  <w:num w:numId="38" w16cid:durableId="413161809">
    <w:abstractNumId w:val="5"/>
  </w:num>
  <w:num w:numId="39" w16cid:durableId="20754671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5D0"/>
    <w:rsid w:val="00037F86"/>
    <w:rsid w:val="00043F2E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2509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964"/>
    <w:rsid w:val="00104BB8"/>
    <w:rsid w:val="001050A3"/>
    <w:rsid w:val="001058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10B7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5B6D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6BB4"/>
    <w:rsid w:val="003F7697"/>
    <w:rsid w:val="003F7BF5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52BB"/>
    <w:rsid w:val="0048672D"/>
    <w:rsid w:val="00490695"/>
    <w:rsid w:val="004907D9"/>
    <w:rsid w:val="00490D44"/>
    <w:rsid w:val="004922EF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40C6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455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B90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61D"/>
    <w:rsid w:val="00594B51"/>
    <w:rsid w:val="00594C21"/>
    <w:rsid w:val="005967E0"/>
    <w:rsid w:val="005A0372"/>
    <w:rsid w:val="005A03D8"/>
    <w:rsid w:val="005A0C5E"/>
    <w:rsid w:val="005A22BB"/>
    <w:rsid w:val="005A3A7C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0E31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1949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A87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47A2C"/>
    <w:rsid w:val="0095172E"/>
    <w:rsid w:val="00951850"/>
    <w:rsid w:val="00954729"/>
    <w:rsid w:val="00960008"/>
    <w:rsid w:val="0096039E"/>
    <w:rsid w:val="00961647"/>
    <w:rsid w:val="00961C0F"/>
    <w:rsid w:val="00963B32"/>
    <w:rsid w:val="009644E6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2F2D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908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B9E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0FC5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6E72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83094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363D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3C29538-BCA9-42EB-A484-5D908597B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3812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R Jones (Ysgol Bro Cynllaith)</cp:lastModifiedBy>
  <cp:revision>2</cp:revision>
  <cp:lastPrinted>2022-03-08T13:56:00Z</cp:lastPrinted>
  <dcterms:created xsi:type="dcterms:W3CDTF">2023-05-12T04:51:00Z</dcterms:created>
  <dcterms:modified xsi:type="dcterms:W3CDTF">2023-05-12T04:51:00Z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2022-2023: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0x0101004EC562CBFA9BF9438A4BFB5ED1E38458</vt:lpwstr>
  </property>
</Properties>
</file>